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35B" w:rsidRPr="006661F0" w:rsidRDefault="00E0335B" w:rsidP="00E0335B">
      <w:pPr>
        <w:pStyle w:val="Textoindependiente"/>
        <w:widowControl w:val="0"/>
        <w:tabs>
          <w:tab w:val="left" w:pos="2410"/>
          <w:tab w:val="left" w:pos="3261"/>
          <w:tab w:val="left" w:pos="5954"/>
          <w:tab w:val="left" w:pos="6946"/>
        </w:tabs>
        <w:suppressAutoHyphens/>
        <w:spacing w:after="0" w:line="240" w:lineRule="auto"/>
        <w:ind w:left="3261" w:right="2409" w:hanging="993"/>
        <w:jc w:val="both"/>
        <w:rPr>
          <w:rFonts w:ascii="Tahoma" w:hAnsi="Tahoma" w:cs="Tahoma"/>
          <w:i/>
          <w:sz w:val="20"/>
          <w:szCs w:val="20"/>
          <w:lang w:val="es-PE"/>
        </w:rPr>
      </w:pPr>
      <w:r w:rsidRPr="006661F0">
        <w:rPr>
          <w:rFonts w:ascii="Tahoma" w:hAnsi="Tahoma" w:cs="Tahoma"/>
          <w:b/>
          <w:i/>
          <w:sz w:val="20"/>
          <w:szCs w:val="20"/>
        </w:rPr>
        <w:t xml:space="preserve">Sumilla: </w:t>
      </w:r>
      <w:r w:rsidRPr="006661F0">
        <w:rPr>
          <w:rFonts w:ascii="Tahoma" w:hAnsi="Tahoma" w:cs="Tahoma"/>
          <w:i/>
          <w:sz w:val="20"/>
          <w:szCs w:val="20"/>
          <w:lang w:val="es-MX"/>
        </w:rPr>
        <w:t xml:space="preserve">Para </w:t>
      </w:r>
      <w:r w:rsidRPr="006661F0">
        <w:rPr>
          <w:rFonts w:ascii="Tahoma" w:hAnsi="Tahoma" w:cs="Tahoma"/>
          <w:i/>
          <w:sz w:val="20"/>
          <w:szCs w:val="20"/>
        </w:rPr>
        <w:t>la configuración del supuesto de hecho de la norma  se requiere acreditar la falsedad o inexactitud del documento cuestionado; es decir, que éste no haya sido expedido por el órgano emisor correspondiente, o que siendo válidamente expedido haya sido a</w:t>
      </w:r>
      <w:r w:rsidR="000E5398">
        <w:rPr>
          <w:rFonts w:ascii="Tahoma" w:hAnsi="Tahoma" w:cs="Tahoma"/>
          <w:i/>
          <w:sz w:val="20"/>
          <w:szCs w:val="20"/>
        </w:rPr>
        <w:t>e</w:t>
      </w:r>
      <w:r w:rsidRPr="006661F0">
        <w:rPr>
          <w:rFonts w:ascii="Tahoma" w:hAnsi="Tahoma" w:cs="Tahoma"/>
          <w:i/>
          <w:sz w:val="20"/>
          <w:szCs w:val="20"/>
        </w:rPr>
        <w:t>dulterado en su contenido,  produciendo un falseamiento de la realidad.</w:t>
      </w:r>
    </w:p>
    <w:p w:rsidR="00E0335B" w:rsidRPr="006661F0" w:rsidRDefault="00E0335B" w:rsidP="00E0335B">
      <w:pPr>
        <w:pStyle w:val="Textoindependiente3"/>
        <w:spacing w:after="0"/>
        <w:ind w:left="4248" w:right="179" w:firstLine="708"/>
        <w:jc w:val="both"/>
        <w:rPr>
          <w:rFonts w:ascii="Tahoma" w:hAnsi="Tahoma" w:cs="Tahoma"/>
          <w:b/>
          <w:sz w:val="20"/>
          <w:szCs w:val="20"/>
        </w:rPr>
      </w:pPr>
    </w:p>
    <w:p w:rsidR="00E0335B" w:rsidRPr="006661F0" w:rsidRDefault="00E0335B" w:rsidP="00E0335B">
      <w:pPr>
        <w:pStyle w:val="Textoindependiente3"/>
        <w:spacing w:after="0"/>
        <w:ind w:left="4248" w:right="179" w:firstLine="708"/>
        <w:jc w:val="both"/>
        <w:rPr>
          <w:rFonts w:ascii="Tahoma" w:hAnsi="Tahoma" w:cs="Tahoma"/>
          <w:sz w:val="20"/>
          <w:szCs w:val="20"/>
        </w:rPr>
      </w:pPr>
      <w:r w:rsidRPr="006661F0">
        <w:rPr>
          <w:rFonts w:ascii="Tahoma" w:hAnsi="Tahoma" w:cs="Tahoma"/>
          <w:b/>
          <w:sz w:val="20"/>
          <w:szCs w:val="20"/>
        </w:rPr>
        <w:t>Lima</w:t>
      </w:r>
      <w:r w:rsidRPr="006661F0">
        <w:rPr>
          <w:rFonts w:ascii="Tahoma" w:hAnsi="Tahoma" w:cs="Tahoma"/>
          <w:sz w:val="20"/>
          <w:szCs w:val="20"/>
        </w:rPr>
        <w:t xml:space="preserve">, </w:t>
      </w:r>
      <w:r w:rsidR="0076697E">
        <w:rPr>
          <w:rFonts w:ascii="Tahoma" w:hAnsi="Tahoma" w:cs="Tahoma"/>
          <w:sz w:val="20"/>
          <w:szCs w:val="20"/>
        </w:rPr>
        <w:t>11 de Mayo de 2011</w:t>
      </w:r>
    </w:p>
    <w:p w:rsidR="00E0335B" w:rsidRPr="006661F0" w:rsidRDefault="00E0335B" w:rsidP="00E0335B">
      <w:pPr>
        <w:pStyle w:val="Textoindependiente3"/>
        <w:spacing w:after="0"/>
        <w:jc w:val="both"/>
        <w:rPr>
          <w:rFonts w:ascii="Tahoma" w:hAnsi="Tahoma" w:cs="Tahoma"/>
          <w:sz w:val="20"/>
          <w:szCs w:val="20"/>
        </w:rPr>
      </w:pPr>
    </w:p>
    <w:p w:rsidR="00E0335B" w:rsidRPr="006661F0" w:rsidRDefault="00E0335B" w:rsidP="00E0335B">
      <w:pPr>
        <w:spacing w:after="0" w:line="240" w:lineRule="auto"/>
        <w:jc w:val="both"/>
        <w:rPr>
          <w:rFonts w:ascii="Tahoma" w:hAnsi="Tahoma" w:cs="Tahoma"/>
          <w:sz w:val="20"/>
          <w:szCs w:val="20"/>
        </w:rPr>
      </w:pPr>
      <w:r w:rsidRPr="006661F0">
        <w:rPr>
          <w:rFonts w:ascii="Tahoma" w:hAnsi="Tahoma" w:cs="Tahoma"/>
          <w:b/>
          <w:sz w:val="20"/>
          <w:szCs w:val="20"/>
        </w:rPr>
        <w:t>VISTO</w:t>
      </w:r>
      <w:r w:rsidRPr="006661F0">
        <w:rPr>
          <w:rFonts w:ascii="Tahoma" w:hAnsi="Tahoma" w:cs="Tahoma"/>
          <w:sz w:val="20"/>
          <w:szCs w:val="20"/>
        </w:rPr>
        <w:t xml:space="preserve"> en sesión de fecha 10 de mayo de 2011 de la Primera Sala del Tribunal de Contrataciones del Estado el Expediente № 16</w:t>
      </w:r>
      <w:r w:rsidR="00A8263A">
        <w:rPr>
          <w:rFonts w:ascii="Tahoma" w:hAnsi="Tahoma" w:cs="Tahoma"/>
          <w:sz w:val="20"/>
          <w:szCs w:val="20"/>
        </w:rPr>
        <w:t>87</w:t>
      </w:r>
      <w:r w:rsidRPr="006661F0">
        <w:rPr>
          <w:rFonts w:ascii="Tahoma" w:hAnsi="Tahoma" w:cs="Tahoma"/>
          <w:sz w:val="20"/>
          <w:szCs w:val="20"/>
        </w:rPr>
        <w:t xml:space="preserve">/2010.TC, sobre el procedimiento administrativo sancionador contra </w:t>
      </w:r>
      <w:r w:rsidRPr="006661F0">
        <w:rPr>
          <w:rFonts w:ascii="Tahoma" w:hAnsi="Tahoma" w:cs="Tahoma"/>
          <w:sz w:val="20"/>
          <w:szCs w:val="20"/>
          <w:lang w:val="es-PE"/>
        </w:rPr>
        <w:t xml:space="preserve">la empresa </w:t>
      </w:r>
      <w:r w:rsidR="00A8263A" w:rsidRPr="006661F0">
        <w:rPr>
          <w:rFonts w:ascii="Tahoma" w:hAnsi="Tahoma" w:cs="Tahoma"/>
          <w:sz w:val="20"/>
          <w:szCs w:val="20"/>
        </w:rPr>
        <w:t>R &amp; R CONSULTORA CONTRATISTAS GENERALES S.R.L.</w:t>
      </w:r>
      <w:r w:rsidRPr="006661F0">
        <w:rPr>
          <w:rFonts w:ascii="Tahoma" w:hAnsi="Tahoma" w:cs="Tahoma"/>
          <w:sz w:val="20"/>
          <w:szCs w:val="20"/>
        </w:rPr>
        <w:t xml:space="preserve">, </w:t>
      </w:r>
      <w:r w:rsidRPr="006661F0">
        <w:rPr>
          <w:rFonts w:ascii="Tahoma" w:hAnsi="Tahoma" w:cs="Tahoma"/>
          <w:sz w:val="20"/>
          <w:szCs w:val="20"/>
          <w:lang w:val="es-MX"/>
        </w:rPr>
        <w:t xml:space="preserve">por la presentación de documentos falsos durante </w:t>
      </w:r>
      <w:r w:rsidRPr="006661F0">
        <w:rPr>
          <w:rFonts w:ascii="Tahoma" w:hAnsi="Tahoma" w:cs="Tahoma"/>
          <w:sz w:val="20"/>
          <w:szCs w:val="20"/>
        </w:rPr>
        <w:t xml:space="preserve">la realización del trámite de Inscripción como </w:t>
      </w:r>
      <w:r w:rsidR="0081038B">
        <w:rPr>
          <w:rFonts w:ascii="Tahoma" w:hAnsi="Tahoma" w:cs="Tahoma"/>
          <w:sz w:val="20"/>
          <w:szCs w:val="20"/>
        </w:rPr>
        <w:t>Ejecutor de Obras</w:t>
      </w:r>
      <w:r w:rsidRPr="006661F0">
        <w:rPr>
          <w:rFonts w:ascii="Tahoma" w:hAnsi="Tahoma" w:cs="Tahoma"/>
          <w:sz w:val="20"/>
          <w:szCs w:val="20"/>
        </w:rPr>
        <w:t xml:space="preserve"> ante el Registro Nacional de Proveedores; y, atendiendo a los siguientes:   </w:t>
      </w:r>
    </w:p>
    <w:p w:rsidR="00E0335B" w:rsidRPr="006661F0" w:rsidRDefault="00E0335B" w:rsidP="00E0335B">
      <w:pPr>
        <w:spacing w:after="0" w:line="240" w:lineRule="auto"/>
        <w:ind w:right="45"/>
        <w:jc w:val="both"/>
        <w:rPr>
          <w:rFonts w:ascii="Tahoma" w:hAnsi="Tahoma" w:cs="Tahoma"/>
          <w:sz w:val="20"/>
          <w:szCs w:val="20"/>
        </w:rPr>
      </w:pPr>
    </w:p>
    <w:p w:rsidR="00E0335B" w:rsidRPr="006661F0" w:rsidRDefault="00E0335B" w:rsidP="00E0335B">
      <w:pPr>
        <w:pStyle w:val="Ttulo2"/>
        <w:jc w:val="both"/>
        <w:rPr>
          <w:rFonts w:cs="Tahoma"/>
          <w:sz w:val="20"/>
        </w:rPr>
      </w:pPr>
      <w:r w:rsidRPr="006661F0">
        <w:rPr>
          <w:rFonts w:cs="Tahoma"/>
          <w:sz w:val="20"/>
        </w:rPr>
        <w:t>ANTECEDENTES:</w:t>
      </w:r>
    </w:p>
    <w:p w:rsidR="006661F0" w:rsidRDefault="006661F0" w:rsidP="006661F0">
      <w:pPr>
        <w:pStyle w:val="NormalWeb"/>
        <w:tabs>
          <w:tab w:val="num" w:pos="900"/>
        </w:tabs>
        <w:spacing w:before="0" w:beforeAutospacing="0" w:after="0" w:afterAutospacing="0"/>
        <w:ind w:left="360"/>
        <w:jc w:val="both"/>
        <w:rPr>
          <w:rFonts w:ascii="Tahoma" w:hAnsi="Tahoma" w:cs="Tahoma"/>
          <w:sz w:val="20"/>
          <w:szCs w:val="20"/>
        </w:rPr>
      </w:pPr>
    </w:p>
    <w:p w:rsidR="00E0335B" w:rsidRPr="006661F0" w:rsidRDefault="00E0335B" w:rsidP="00E0335B">
      <w:pPr>
        <w:pStyle w:val="NormalWeb"/>
        <w:numPr>
          <w:ilvl w:val="0"/>
          <w:numId w:val="1"/>
        </w:numPr>
        <w:tabs>
          <w:tab w:val="num" w:pos="900"/>
        </w:tabs>
        <w:spacing w:before="0" w:beforeAutospacing="0" w:after="0" w:afterAutospacing="0"/>
        <w:jc w:val="both"/>
        <w:rPr>
          <w:rFonts w:ascii="Tahoma" w:hAnsi="Tahoma" w:cs="Tahoma"/>
          <w:sz w:val="20"/>
          <w:szCs w:val="20"/>
        </w:rPr>
      </w:pPr>
      <w:r w:rsidRPr="006661F0">
        <w:rPr>
          <w:rFonts w:ascii="Tahoma" w:hAnsi="Tahoma" w:cs="Tahoma"/>
          <w:sz w:val="20"/>
          <w:szCs w:val="20"/>
        </w:rPr>
        <w:t xml:space="preserve">El 11 de octubre de 2007, la empresa R &amp; R CONSULTORA CONTRATISTAS GENERALES S.R.L., en adelante el Proveedor, solicitó su  inscripción como ejecutor de obras ante el </w:t>
      </w:r>
      <w:r w:rsidRPr="006661F0">
        <w:rPr>
          <w:rFonts w:ascii="Tahoma" w:hAnsi="Tahoma" w:cs="Tahoma"/>
          <w:sz w:val="20"/>
          <w:szCs w:val="20"/>
          <w:lang w:val="es-PE"/>
        </w:rPr>
        <w:t>Registro Nacional de Proveedores.</w:t>
      </w:r>
    </w:p>
    <w:p w:rsidR="00E0335B" w:rsidRPr="006661F0" w:rsidRDefault="00E0335B" w:rsidP="00E0335B">
      <w:pPr>
        <w:pStyle w:val="NormalWeb"/>
        <w:tabs>
          <w:tab w:val="num" w:pos="900"/>
        </w:tabs>
        <w:spacing w:before="0" w:beforeAutospacing="0" w:after="0" w:afterAutospacing="0"/>
        <w:ind w:left="360"/>
        <w:jc w:val="both"/>
        <w:rPr>
          <w:rFonts w:ascii="Tahoma" w:hAnsi="Tahoma" w:cs="Tahoma"/>
          <w:sz w:val="20"/>
          <w:szCs w:val="20"/>
        </w:rPr>
      </w:pPr>
    </w:p>
    <w:p w:rsidR="00E0335B" w:rsidRPr="006661F0" w:rsidRDefault="00E0335B" w:rsidP="00E0335B">
      <w:pPr>
        <w:pStyle w:val="NormalWeb"/>
        <w:tabs>
          <w:tab w:val="num" w:pos="900"/>
        </w:tabs>
        <w:spacing w:before="0" w:beforeAutospacing="0" w:after="0" w:afterAutospacing="0"/>
        <w:ind w:left="360"/>
        <w:jc w:val="both"/>
        <w:rPr>
          <w:rFonts w:ascii="Tahoma" w:hAnsi="Tahoma" w:cs="Tahoma"/>
          <w:sz w:val="20"/>
          <w:szCs w:val="20"/>
          <w:lang w:val="es-PE"/>
        </w:rPr>
      </w:pPr>
      <w:r w:rsidRPr="006661F0">
        <w:rPr>
          <w:rFonts w:ascii="Tahoma" w:hAnsi="Tahoma" w:cs="Tahoma"/>
          <w:sz w:val="20"/>
          <w:szCs w:val="20"/>
          <w:lang w:val="es-PE"/>
        </w:rPr>
        <w:t>Entre los documentos presentados para realizar el referido trámite presentó la Solicitud – Declaración Jurada Licencia de Funcionamiento Provisional recibido por la Municipalidad Provincial de Arequipa el 12 de agosto de 2007.</w:t>
      </w:r>
    </w:p>
    <w:p w:rsidR="006661F0" w:rsidRDefault="006661F0" w:rsidP="006661F0">
      <w:pPr>
        <w:pStyle w:val="NormalWeb"/>
        <w:tabs>
          <w:tab w:val="num" w:pos="900"/>
        </w:tabs>
        <w:spacing w:before="0" w:beforeAutospacing="0" w:after="0" w:afterAutospacing="0"/>
        <w:ind w:left="360"/>
        <w:jc w:val="both"/>
        <w:rPr>
          <w:rFonts w:ascii="Tahoma" w:hAnsi="Tahoma" w:cs="Tahoma"/>
          <w:sz w:val="20"/>
          <w:szCs w:val="20"/>
          <w:lang w:val="es-PE"/>
        </w:rPr>
      </w:pPr>
    </w:p>
    <w:p w:rsidR="00E0335B" w:rsidRPr="006661F0" w:rsidRDefault="00E0335B" w:rsidP="00E0335B">
      <w:pPr>
        <w:pStyle w:val="NormalWeb"/>
        <w:numPr>
          <w:ilvl w:val="0"/>
          <w:numId w:val="1"/>
        </w:numPr>
        <w:tabs>
          <w:tab w:val="num" w:pos="900"/>
        </w:tabs>
        <w:spacing w:before="0" w:beforeAutospacing="0" w:after="0" w:afterAutospacing="0"/>
        <w:jc w:val="both"/>
        <w:rPr>
          <w:rFonts w:ascii="Tahoma" w:hAnsi="Tahoma" w:cs="Tahoma"/>
          <w:sz w:val="20"/>
          <w:szCs w:val="20"/>
          <w:lang w:val="es-PE"/>
        </w:rPr>
      </w:pPr>
      <w:r w:rsidRPr="006661F0">
        <w:rPr>
          <w:rFonts w:ascii="Tahoma" w:hAnsi="Tahoma" w:cs="Tahoma"/>
          <w:sz w:val="20"/>
          <w:szCs w:val="20"/>
          <w:lang w:val="es-PE"/>
        </w:rPr>
        <w:t>Con Resolución Nº 4175/2007-CONSUCODE/SRNP de fecha 25 de octubre de 2007 se le otorgó la máxima capacidad de contratación de S/. 1 172,999.99 Nuevos Soles, y se le expidió el certificado de Inscripción Nº 3675 de fecha 30 de octubre de 2007, con vigencia hasta el 25 de octubre de 2008.</w:t>
      </w:r>
    </w:p>
    <w:p w:rsidR="00E0335B" w:rsidRPr="006661F0" w:rsidRDefault="00E0335B" w:rsidP="00E0335B">
      <w:pPr>
        <w:pStyle w:val="NormalWeb"/>
        <w:tabs>
          <w:tab w:val="num" w:pos="900"/>
        </w:tabs>
        <w:spacing w:before="0" w:beforeAutospacing="0" w:after="0" w:afterAutospacing="0"/>
        <w:jc w:val="both"/>
        <w:rPr>
          <w:rFonts w:ascii="Tahoma" w:hAnsi="Tahoma" w:cs="Tahoma"/>
          <w:sz w:val="20"/>
          <w:szCs w:val="20"/>
        </w:rPr>
      </w:pPr>
    </w:p>
    <w:p w:rsidR="00E0335B" w:rsidRPr="006661F0" w:rsidRDefault="00E0335B" w:rsidP="00E0335B">
      <w:pPr>
        <w:pStyle w:val="NormalWeb"/>
        <w:numPr>
          <w:ilvl w:val="0"/>
          <w:numId w:val="1"/>
        </w:numPr>
        <w:tabs>
          <w:tab w:val="num" w:pos="900"/>
        </w:tabs>
        <w:spacing w:before="0" w:beforeAutospacing="0" w:after="0" w:afterAutospacing="0"/>
        <w:jc w:val="both"/>
        <w:rPr>
          <w:rFonts w:ascii="Tahoma" w:hAnsi="Tahoma" w:cs="Tahoma"/>
          <w:sz w:val="20"/>
          <w:szCs w:val="20"/>
        </w:rPr>
      </w:pPr>
      <w:r w:rsidRPr="006661F0">
        <w:rPr>
          <w:rFonts w:ascii="Tahoma" w:hAnsi="Tahoma" w:cs="Tahoma"/>
          <w:sz w:val="20"/>
          <w:szCs w:val="20"/>
        </w:rPr>
        <w:t>De conformidad con lo establecido en el artículo 32º de la Ley 27444- Ley de Procedimiento Administrativo General, la Subdirección del Registro Nacional de Proveedores dispuso iniciar la fiscalización posterior a la documentación presentada por el Proveedor.</w:t>
      </w:r>
    </w:p>
    <w:p w:rsidR="00E0335B" w:rsidRPr="006661F0" w:rsidRDefault="00E0335B" w:rsidP="00E0335B">
      <w:pPr>
        <w:pStyle w:val="Prrafodelista"/>
        <w:rPr>
          <w:rFonts w:ascii="Tahoma" w:hAnsi="Tahoma" w:cs="Tahoma"/>
          <w:sz w:val="20"/>
        </w:rPr>
      </w:pPr>
    </w:p>
    <w:p w:rsidR="00E0335B" w:rsidRPr="006661F0" w:rsidRDefault="00E0335B" w:rsidP="00E0335B">
      <w:pPr>
        <w:pStyle w:val="NormalWeb"/>
        <w:numPr>
          <w:ilvl w:val="0"/>
          <w:numId w:val="1"/>
        </w:numPr>
        <w:tabs>
          <w:tab w:val="num" w:pos="900"/>
        </w:tabs>
        <w:spacing w:before="0" w:beforeAutospacing="0" w:after="0" w:afterAutospacing="0"/>
        <w:jc w:val="both"/>
        <w:rPr>
          <w:rFonts w:ascii="Tahoma" w:hAnsi="Tahoma" w:cs="Tahoma"/>
          <w:sz w:val="20"/>
          <w:szCs w:val="20"/>
        </w:rPr>
      </w:pPr>
      <w:r w:rsidRPr="006661F0">
        <w:rPr>
          <w:rFonts w:ascii="Tahoma" w:hAnsi="Tahoma" w:cs="Tahoma"/>
          <w:sz w:val="20"/>
          <w:szCs w:val="20"/>
        </w:rPr>
        <w:t>Mediante Oficio Nº 1663-2009-OSCE-DSF/SFIS.AA de fecha 19 de mayo de 2009,  y notificado el 26 del mismo mes y año, se solicitó a la Municipalidad Provincial de Arequipa, brinde su conformidad a la Licencia de Funcionamiento Provisional presentada el 12 de agosto de 2007 por el Proveedor.</w:t>
      </w:r>
    </w:p>
    <w:p w:rsidR="00E0335B" w:rsidRPr="006661F0" w:rsidRDefault="00E0335B" w:rsidP="00E0335B">
      <w:pPr>
        <w:pStyle w:val="NormalWeb"/>
        <w:tabs>
          <w:tab w:val="num" w:pos="900"/>
        </w:tabs>
        <w:spacing w:before="0" w:beforeAutospacing="0" w:after="0" w:afterAutospacing="0"/>
        <w:jc w:val="both"/>
        <w:rPr>
          <w:rFonts w:ascii="Tahoma" w:hAnsi="Tahoma" w:cs="Tahoma"/>
          <w:sz w:val="20"/>
          <w:szCs w:val="20"/>
        </w:rPr>
      </w:pPr>
    </w:p>
    <w:p w:rsidR="00E0335B" w:rsidRPr="006661F0" w:rsidRDefault="00E0335B" w:rsidP="00E0335B">
      <w:pPr>
        <w:pStyle w:val="NormalWeb"/>
        <w:numPr>
          <w:ilvl w:val="0"/>
          <w:numId w:val="1"/>
        </w:numPr>
        <w:tabs>
          <w:tab w:val="num" w:pos="900"/>
        </w:tabs>
        <w:spacing w:before="0" w:beforeAutospacing="0" w:after="0" w:afterAutospacing="0"/>
        <w:jc w:val="both"/>
        <w:rPr>
          <w:rFonts w:ascii="Tahoma" w:hAnsi="Tahoma" w:cs="Tahoma"/>
          <w:sz w:val="20"/>
          <w:szCs w:val="20"/>
        </w:rPr>
      </w:pPr>
      <w:r w:rsidRPr="006661F0">
        <w:rPr>
          <w:rFonts w:ascii="Tahoma" w:hAnsi="Tahoma" w:cs="Tahoma"/>
          <w:sz w:val="20"/>
          <w:szCs w:val="20"/>
        </w:rPr>
        <w:t>Mediante Oficio Nº 169-2009-MPA/GAT/SGRT de fecha 16 de junio de 2009, recibido el 19 del mismo mes y año, la Municipalidad Provincial de Arequipa, informó lo siguiente: “</w:t>
      </w:r>
      <w:r w:rsidRPr="006661F0">
        <w:rPr>
          <w:rFonts w:ascii="Tahoma" w:hAnsi="Tahoma" w:cs="Tahoma"/>
          <w:i/>
          <w:iCs/>
          <w:sz w:val="20"/>
          <w:szCs w:val="20"/>
        </w:rPr>
        <w:t xml:space="preserve">(…) el número de expediente es ilegible, Nº 16299-2007, el mismo que no existe en archivo, </w:t>
      </w:r>
      <w:r w:rsidRPr="006661F0">
        <w:rPr>
          <w:rFonts w:ascii="Tahoma" w:hAnsi="Tahoma" w:cs="Tahoma"/>
          <w:i/>
          <w:iCs/>
          <w:sz w:val="20"/>
          <w:szCs w:val="20"/>
        </w:rPr>
        <w:lastRenderedPageBreak/>
        <w:t>tampoco está registrado en el Sistema informático, el numero es ilegible por tanto no se puede dar conformidad.”</w:t>
      </w:r>
    </w:p>
    <w:p w:rsidR="00E0335B" w:rsidRPr="006661F0" w:rsidRDefault="00E0335B" w:rsidP="00E0335B">
      <w:pPr>
        <w:pStyle w:val="Prrafodelista"/>
        <w:rPr>
          <w:rFonts w:ascii="Tahoma" w:hAnsi="Tahoma" w:cs="Tahoma"/>
          <w:sz w:val="20"/>
        </w:rPr>
      </w:pPr>
    </w:p>
    <w:p w:rsidR="00E0335B" w:rsidRPr="006661F0" w:rsidRDefault="00E0335B" w:rsidP="00E0335B">
      <w:pPr>
        <w:pStyle w:val="NormalWeb"/>
        <w:numPr>
          <w:ilvl w:val="0"/>
          <w:numId w:val="1"/>
        </w:numPr>
        <w:tabs>
          <w:tab w:val="num" w:pos="900"/>
        </w:tabs>
        <w:spacing w:before="0" w:beforeAutospacing="0" w:after="0" w:afterAutospacing="0"/>
        <w:jc w:val="both"/>
        <w:rPr>
          <w:rFonts w:ascii="Tahoma" w:hAnsi="Tahoma" w:cs="Tahoma"/>
          <w:sz w:val="20"/>
          <w:szCs w:val="20"/>
        </w:rPr>
      </w:pPr>
      <w:r w:rsidRPr="006661F0">
        <w:rPr>
          <w:rFonts w:ascii="Tahoma" w:hAnsi="Tahoma" w:cs="Tahoma"/>
          <w:sz w:val="20"/>
          <w:szCs w:val="20"/>
        </w:rPr>
        <w:t>Mediante Oficio Nº 4860-2009-OSCE-DSF/SFIS.AA de fecha 11 de noviembre de 2009, se solicitó a la Municipalidad Provincial de Arequipa, que informe expresamente si los datos contenidos en la solicitud Declaración Jurada de Licencia de Funcionamiento Provisional de fecha 12 de agosto de 2007 son conformes de acuerdo a los datos obrantes en sus archivos</w:t>
      </w:r>
    </w:p>
    <w:p w:rsidR="00E0335B" w:rsidRPr="006661F0" w:rsidRDefault="00E0335B" w:rsidP="00E0335B">
      <w:pPr>
        <w:pStyle w:val="NormalWeb"/>
        <w:tabs>
          <w:tab w:val="num" w:pos="900"/>
        </w:tabs>
        <w:spacing w:before="0" w:beforeAutospacing="0" w:after="0" w:afterAutospacing="0"/>
        <w:ind w:left="360"/>
        <w:jc w:val="both"/>
        <w:rPr>
          <w:rFonts w:ascii="Tahoma" w:hAnsi="Tahoma" w:cs="Tahoma"/>
          <w:sz w:val="20"/>
          <w:szCs w:val="20"/>
        </w:rPr>
      </w:pPr>
    </w:p>
    <w:p w:rsidR="00E0335B" w:rsidRPr="006661F0" w:rsidRDefault="00E0335B" w:rsidP="00E0335B">
      <w:pPr>
        <w:pStyle w:val="NormalWeb"/>
        <w:numPr>
          <w:ilvl w:val="0"/>
          <w:numId w:val="1"/>
        </w:numPr>
        <w:tabs>
          <w:tab w:val="num" w:pos="900"/>
        </w:tabs>
        <w:spacing w:before="0" w:beforeAutospacing="0" w:after="0" w:afterAutospacing="0"/>
        <w:jc w:val="both"/>
        <w:rPr>
          <w:rFonts w:ascii="Tahoma" w:hAnsi="Tahoma" w:cs="Tahoma"/>
          <w:sz w:val="20"/>
          <w:szCs w:val="20"/>
        </w:rPr>
      </w:pPr>
      <w:r w:rsidRPr="006661F0">
        <w:rPr>
          <w:rFonts w:ascii="Tahoma" w:hAnsi="Tahoma" w:cs="Tahoma"/>
          <w:sz w:val="20"/>
          <w:szCs w:val="20"/>
        </w:rPr>
        <w:t xml:space="preserve">Con Oficio Nº 230-2009-MPA/GAT de fecha 23 de noviembre de 2009, recibido el 30 del mismo mes y año, la Municipalidad Provincial de Arequipa, informó lo siguiente: “ </w:t>
      </w:r>
      <w:r w:rsidRPr="006661F0">
        <w:rPr>
          <w:rFonts w:ascii="Tahoma" w:hAnsi="Tahoma" w:cs="Tahoma"/>
          <w:i/>
          <w:iCs/>
          <w:sz w:val="20"/>
          <w:szCs w:val="20"/>
        </w:rPr>
        <w:t xml:space="preserve">(…) de la verificación efectuada en el sistema informático, le comunico que el Registro Nº 16999-07 corresponde al administrado Alias Mamani Figueroa, por un trámite de descargo de un acta de inspección Nº 081036 en consecuencia el formulario enviado por ustedes </w:t>
      </w:r>
      <w:r w:rsidRPr="006661F0">
        <w:rPr>
          <w:rFonts w:ascii="Tahoma" w:hAnsi="Tahoma" w:cs="Tahoma"/>
          <w:i/>
          <w:iCs/>
          <w:sz w:val="20"/>
          <w:szCs w:val="20"/>
          <w:u w:val="single"/>
        </w:rPr>
        <w:t>no es conforme</w:t>
      </w:r>
      <w:r w:rsidRPr="006661F0">
        <w:rPr>
          <w:rFonts w:ascii="Tahoma" w:hAnsi="Tahoma" w:cs="Tahoma"/>
          <w:i/>
          <w:iCs/>
          <w:sz w:val="20"/>
          <w:szCs w:val="20"/>
        </w:rPr>
        <w:t xml:space="preserve">” </w:t>
      </w:r>
    </w:p>
    <w:p w:rsidR="00E0335B" w:rsidRPr="006661F0" w:rsidRDefault="00E0335B" w:rsidP="00E0335B">
      <w:pPr>
        <w:pStyle w:val="NormalWeb"/>
        <w:tabs>
          <w:tab w:val="num" w:pos="900"/>
        </w:tabs>
        <w:spacing w:before="0" w:beforeAutospacing="0" w:after="0" w:afterAutospacing="0"/>
        <w:jc w:val="both"/>
        <w:rPr>
          <w:rFonts w:ascii="Tahoma" w:hAnsi="Tahoma" w:cs="Tahoma"/>
          <w:sz w:val="20"/>
          <w:szCs w:val="20"/>
        </w:rPr>
      </w:pPr>
    </w:p>
    <w:p w:rsidR="00E0335B" w:rsidRPr="006661F0" w:rsidRDefault="00E0335B" w:rsidP="00E0335B">
      <w:pPr>
        <w:pStyle w:val="NormalWeb"/>
        <w:numPr>
          <w:ilvl w:val="0"/>
          <w:numId w:val="1"/>
        </w:numPr>
        <w:tabs>
          <w:tab w:val="num" w:pos="900"/>
        </w:tabs>
        <w:spacing w:before="0" w:beforeAutospacing="0" w:after="0" w:afterAutospacing="0"/>
        <w:jc w:val="both"/>
        <w:rPr>
          <w:rFonts w:ascii="Tahoma" w:hAnsi="Tahoma" w:cs="Tahoma"/>
          <w:sz w:val="20"/>
          <w:szCs w:val="20"/>
        </w:rPr>
      </w:pPr>
      <w:r w:rsidRPr="006661F0">
        <w:rPr>
          <w:rFonts w:ascii="Tahoma" w:hAnsi="Tahoma" w:cs="Tahoma"/>
          <w:sz w:val="20"/>
          <w:szCs w:val="20"/>
        </w:rPr>
        <w:t xml:space="preserve">Mediante Resolución Nº 075-2010-OSCE/DS de fecha 17 de marzo de 2010,  la Dirección del SEACE resolvió disponer el inicio de las acciones legales vía proceso contencioso administrativo, a fin que en sede judicial  se declare la Nulidad de la Resolución </w:t>
      </w:r>
      <w:r w:rsidRPr="006661F0">
        <w:rPr>
          <w:rFonts w:ascii="Tahoma" w:hAnsi="Tahoma" w:cs="Tahoma"/>
          <w:sz w:val="20"/>
          <w:szCs w:val="20"/>
          <w:lang w:val="es-PE"/>
        </w:rPr>
        <w:t xml:space="preserve">Nº 4175/2007-CONSUCODE/SRNP de fecha 25 de octubre de 2007 y  el certificado de Inscripción Nº 3675 de fecha 30 de octubre de 2007. Asimismo, se puso </w:t>
      </w:r>
      <w:r w:rsidRPr="006661F0">
        <w:rPr>
          <w:rFonts w:ascii="Tahoma" w:hAnsi="Tahoma" w:cs="Tahoma"/>
          <w:sz w:val="20"/>
          <w:szCs w:val="20"/>
        </w:rPr>
        <w:t>en conocimiento del Tribunal de Contrataciones y Adquisiciones del Estado los hechos acaecidos.</w:t>
      </w:r>
    </w:p>
    <w:p w:rsidR="00E0335B" w:rsidRPr="006661F0" w:rsidRDefault="00E0335B" w:rsidP="00E0335B">
      <w:pPr>
        <w:pStyle w:val="NormalWeb"/>
        <w:tabs>
          <w:tab w:val="num" w:pos="900"/>
        </w:tabs>
        <w:spacing w:before="0" w:beforeAutospacing="0" w:after="0" w:afterAutospacing="0"/>
        <w:jc w:val="both"/>
        <w:rPr>
          <w:rFonts w:ascii="Tahoma" w:hAnsi="Tahoma" w:cs="Tahoma"/>
          <w:sz w:val="20"/>
          <w:szCs w:val="20"/>
        </w:rPr>
      </w:pPr>
    </w:p>
    <w:p w:rsidR="00E0335B" w:rsidRPr="006661F0" w:rsidRDefault="00E0335B" w:rsidP="00E0335B">
      <w:pPr>
        <w:pStyle w:val="NormalWeb"/>
        <w:numPr>
          <w:ilvl w:val="0"/>
          <w:numId w:val="1"/>
        </w:numPr>
        <w:tabs>
          <w:tab w:val="num" w:pos="900"/>
        </w:tabs>
        <w:spacing w:before="0" w:beforeAutospacing="0" w:after="0" w:afterAutospacing="0"/>
        <w:jc w:val="both"/>
        <w:rPr>
          <w:rFonts w:ascii="Tahoma" w:hAnsi="Tahoma" w:cs="Tahoma"/>
          <w:sz w:val="20"/>
          <w:szCs w:val="20"/>
        </w:rPr>
      </w:pPr>
      <w:r w:rsidRPr="006661F0">
        <w:rPr>
          <w:rFonts w:ascii="Tahoma" w:hAnsi="Tahoma" w:cs="Tahoma"/>
          <w:sz w:val="20"/>
          <w:szCs w:val="20"/>
        </w:rPr>
        <w:t>Mediante Oficio Nº 096-2010-OSCE de fecha 22 de marzo de 2010,  se notificó la Resolución detallada al Proveedor.</w:t>
      </w:r>
    </w:p>
    <w:p w:rsidR="00E0335B" w:rsidRPr="006661F0" w:rsidRDefault="00E0335B" w:rsidP="00E0335B">
      <w:pPr>
        <w:pStyle w:val="Prrafodelista"/>
        <w:tabs>
          <w:tab w:val="left" w:pos="6674"/>
        </w:tabs>
        <w:rPr>
          <w:rFonts w:ascii="Tahoma" w:hAnsi="Tahoma" w:cs="Tahoma"/>
          <w:sz w:val="20"/>
        </w:rPr>
      </w:pPr>
      <w:r w:rsidRPr="006661F0">
        <w:rPr>
          <w:rFonts w:ascii="Tahoma" w:hAnsi="Tahoma" w:cs="Tahoma"/>
          <w:sz w:val="20"/>
        </w:rPr>
        <w:tab/>
      </w:r>
    </w:p>
    <w:p w:rsidR="00E0335B" w:rsidRPr="006661F0" w:rsidRDefault="00E0335B" w:rsidP="00E0335B">
      <w:pPr>
        <w:pStyle w:val="NormalWeb"/>
        <w:numPr>
          <w:ilvl w:val="0"/>
          <w:numId w:val="1"/>
        </w:numPr>
        <w:tabs>
          <w:tab w:val="num" w:pos="900"/>
        </w:tabs>
        <w:spacing w:before="0" w:beforeAutospacing="0" w:after="0" w:afterAutospacing="0"/>
        <w:jc w:val="both"/>
        <w:rPr>
          <w:rFonts w:ascii="Tahoma" w:hAnsi="Tahoma" w:cs="Tahoma"/>
          <w:sz w:val="20"/>
          <w:szCs w:val="20"/>
        </w:rPr>
      </w:pPr>
      <w:r w:rsidRPr="006661F0">
        <w:rPr>
          <w:rFonts w:ascii="Tahoma" w:hAnsi="Tahoma" w:cs="Tahoma"/>
          <w:sz w:val="20"/>
          <w:szCs w:val="20"/>
        </w:rPr>
        <w:t>Con Memorando Nº 1110-2010/DS-MSH de fecha 19 de noviembre de 2010, la Entidad puso en conocimiento de este Tribunal los hechos antes descritos; y en función a ello, mediante Decreto de fecha 29 de noviembre de 2010, se dispuso el inicio del procedimiento administrativo sancionador contra la empresa proveedora por supuesta responsabilidad en la presentación de documentos falsos o inexactos durante la realización del trámite de inscripción como ejecutor de obras ante el Registro Nacional de Proveedores, infracción tipificada en el numeral 9) del artículo 294º del Reglamento, emplazando al contratista para que presente sus descargos en el plazo de diez (10) días, bajo apercibimiento de resolver con la documentación obrante en autos.</w:t>
      </w:r>
    </w:p>
    <w:p w:rsidR="00E0335B" w:rsidRPr="006661F0" w:rsidRDefault="00E0335B" w:rsidP="00E0335B">
      <w:pPr>
        <w:pStyle w:val="Prrafodelista"/>
        <w:rPr>
          <w:rFonts w:ascii="Tahoma" w:hAnsi="Tahoma" w:cs="Tahoma"/>
          <w:sz w:val="20"/>
        </w:rPr>
      </w:pPr>
    </w:p>
    <w:p w:rsidR="00E0335B" w:rsidRPr="006661F0" w:rsidRDefault="00E0335B" w:rsidP="00E0335B">
      <w:pPr>
        <w:pStyle w:val="NormalWeb"/>
        <w:numPr>
          <w:ilvl w:val="0"/>
          <w:numId w:val="1"/>
        </w:numPr>
        <w:tabs>
          <w:tab w:val="num" w:pos="900"/>
        </w:tabs>
        <w:spacing w:before="0" w:beforeAutospacing="0" w:after="0" w:afterAutospacing="0"/>
        <w:jc w:val="both"/>
        <w:rPr>
          <w:rFonts w:ascii="Tahoma" w:hAnsi="Tahoma" w:cs="Tahoma"/>
          <w:sz w:val="20"/>
          <w:szCs w:val="20"/>
        </w:rPr>
      </w:pPr>
      <w:r w:rsidRPr="006661F0">
        <w:rPr>
          <w:rFonts w:ascii="Tahoma" w:hAnsi="Tahoma" w:cs="Tahoma"/>
          <w:sz w:val="20"/>
          <w:szCs w:val="20"/>
        </w:rPr>
        <w:t xml:space="preserve">Con decreto de fecha 09 de febrero de 2011, se dispuso enviar </w:t>
      </w:r>
      <w:r w:rsidRPr="006661F0">
        <w:rPr>
          <w:rFonts w:ascii="Tahoma" w:hAnsi="Tahoma" w:cs="Tahoma"/>
          <w:color w:val="000000"/>
          <w:sz w:val="20"/>
          <w:szCs w:val="20"/>
        </w:rPr>
        <w:t xml:space="preserve">Cédula de Notificación Nº 1946/2010.TC al domicilio, sito en: </w:t>
      </w:r>
      <w:r w:rsidRPr="006661F0">
        <w:rPr>
          <w:rFonts w:ascii="Tahoma" w:hAnsi="Tahoma" w:cs="Tahoma"/>
          <w:color w:val="000000"/>
          <w:sz w:val="20"/>
          <w:szCs w:val="20"/>
          <w:u w:val="single"/>
        </w:rPr>
        <w:t>Calle Nicolás de Piérola Nº 507-Urb. Generalísimo San Martín- Mariano Melgar-Arequipa-Arequipa</w:t>
      </w:r>
      <w:r w:rsidRPr="006661F0">
        <w:rPr>
          <w:rFonts w:ascii="Tahoma" w:hAnsi="Tahoma" w:cs="Tahoma"/>
          <w:color w:val="000000"/>
          <w:sz w:val="20"/>
          <w:szCs w:val="20"/>
        </w:rPr>
        <w:t xml:space="preserve"> de conformidad a lo establecido en los artículos 18º y 21º de la Ley del Procedimiento Administrativo General, Ley Nº 27444, a fin que la empresa R &amp; R CONSULTORA CONTRATISTAS  GENERALES S.R.L. efectúe la presentación de sus descargos.</w:t>
      </w:r>
    </w:p>
    <w:p w:rsidR="00E0335B" w:rsidRPr="006661F0" w:rsidRDefault="00E0335B" w:rsidP="00E0335B">
      <w:pPr>
        <w:pStyle w:val="Prrafodelista"/>
        <w:rPr>
          <w:rFonts w:ascii="Tahoma" w:hAnsi="Tahoma" w:cs="Tahoma"/>
          <w:sz w:val="20"/>
        </w:rPr>
      </w:pPr>
    </w:p>
    <w:p w:rsidR="00E0335B" w:rsidRPr="006661F0" w:rsidRDefault="00E0335B" w:rsidP="00E0335B">
      <w:pPr>
        <w:pStyle w:val="NormalWeb"/>
        <w:numPr>
          <w:ilvl w:val="0"/>
          <w:numId w:val="1"/>
        </w:numPr>
        <w:tabs>
          <w:tab w:val="num" w:pos="900"/>
        </w:tabs>
        <w:spacing w:before="0" w:beforeAutospacing="0" w:after="0" w:afterAutospacing="0"/>
        <w:jc w:val="both"/>
        <w:rPr>
          <w:rFonts w:ascii="Tahoma" w:hAnsi="Tahoma" w:cs="Tahoma"/>
          <w:sz w:val="20"/>
          <w:szCs w:val="20"/>
        </w:rPr>
      </w:pPr>
      <w:r w:rsidRPr="006661F0">
        <w:rPr>
          <w:rFonts w:ascii="Tahoma" w:hAnsi="Tahoma" w:cs="Tahoma"/>
          <w:sz w:val="20"/>
          <w:szCs w:val="20"/>
        </w:rPr>
        <w:t xml:space="preserve">Mediante decreto de fecha 03 de marzo de 2011, se realizó una precisión al decreto de fecha 29 de noviembre de 2011, </w:t>
      </w:r>
      <w:r w:rsidRPr="006661F0">
        <w:rPr>
          <w:rFonts w:ascii="Tahoma" w:hAnsi="Tahoma" w:cs="Tahoma"/>
          <w:color w:val="000000"/>
          <w:sz w:val="20"/>
          <w:szCs w:val="20"/>
        </w:rPr>
        <w:t>en el extremo referido a la infracción en la que habría incurrido la denunciada, la cual corresponde al numeral 10) del artículo 294º del Reglamento de la Ley de Contrataciones y Adquisiciones del Estado, aprobado mediante D.S. Nº 084-2004-PCM. En tal sentido, a fin de no afectar el derecho de defensa de la mencionada empresa se le otorgó el plazo de diez (10) días hábiles al proveedor, a fin que cumpla con presentar sus descargos.</w:t>
      </w:r>
    </w:p>
    <w:p w:rsidR="00E0335B" w:rsidRPr="006661F0" w:rsidRDefault="00E0335B" w:rsidP="00E0335B">
      <w:pPr>
        <w:pStyle w:val="Prrafodelista"/>
        <w:rPr>
          <w:rFonts w:ascii="Tahoma" w:hAnsi="Tahoma" w:cs="Tahoma"/>
          <w:sz w:val="20"/>
        </w:rPr>
      </w:pPr>
    </w:p>
    <w:p w:rsidR="00E0335B" w:rsidRPr="006661F0" w:rsidRDefault="00E0335B" w:rsidP="00E0335B">
      <w:pPr>
        <w:pStyle w:val="NormalWeb"/>
        <w:numPr>
          <w:ilvl w:val="0"/>
          <w:numId w:val="1"/>
        </w:numPr>
        <w:tabs>
          <w:tab w:val="num" w:pos="900"/>
        </w:tabs>
        <w:spacing w:before="0" w:beforeAutospacing="0" w:after="0" w:afterAutospacing="0"/>
        <w:jc w:val="both"/>
        <w:rPr>
          <w:rFonts w:ascii="Tahoma" w:hAnsi="Tahoma" w:cs="Tahoma"/>
          <w:sz w:val="20"/>
          <w:szCs w:val="20"/>
        </w:rPr>
      </w:pPr>
      <w:r w:rsidRPr="006661F0">
        <w:rPr>
          <w:rFonts w:ascii="Tahoma" w:hAnsi="Tahoma" w:cs="Tahoma"/>
          <w:sz w:val="20"/>
          <w:szCs w:val="20"/>
        </w:rPr>
        <w:lastRenderedPageBreak/>
        <w:t xml:space="preserve">Con decreto de fecha 25 de abril de 2011, </w:t>
      </w:r>
      <w:r w:rsidRPr="006661F0">
        <w:rPr>
          <w:rFonts w:ascii="Tahoma" w:hAnsi="Tahoma" w:cs="Tahoma"/>
          <w:color w:val="000000"/>
          <w:sz w:val="20"/>
          <w:szCs w:val="20"/>
        </w:rPr>
        <w:t xml:space="preserve">no habiendo cumplido </w:t>
      </w:r>
      <w:r w:rsidRPr="006661F0">
        <w:rPr>
          <w:rFonts w:ascii="Tahoma" w:hAnsi="Tahoma" w:cs="Tahoma"/>
          <w:color w:val="000000"/>
          <w:sz w:val="20"/>
          <w:szCs w:val="20"/>
          <w:lang w:val="es-ES_tradnl"/>
        </w:rPr>
        <w:t xml:space="preserve">el Proveedor </w:t>
      </w:r>
      <w:r w:rsidRPr="006661F0">
        <w:rPr>
          <w:rFonts w:ascii="Tahoma" w:hAnsi="Tahoma" w:cs="Tahoma"/>
          <w:color w:val="000000"/>
          <w:sz w:val="20"/>
          <w:szCs w:val="20"/>
        </w:rPr>
        <w:t>con presentar sus descargos, se dispuso: hacer efectivo el apercibimiento decretado de resolver con la documentación obrante en autos y, remítase el expediente a la </w:t>
      </w:r>
      <w:r w:rsidRPr="006661F0">
        <w:rPr>
          <w:rStyle w:val="Textoennegrita"/>
          <w:rFonts w:ascii="Tahoma" w:hAnsi="Tahoma" w:cs="Tahoma"/>
          <w:color w:val="000000"/>
          <w:sz w:val="20"/>
          <w:szCs w:val="20"/>
        </w:rPr>
        <w:t>Primera</w:t>
      </w:r>
      <w:r w:rsidRPr="006661F0">
        <w:rPr>
          <w:rFonts w:ascii="Tahoma" w:hAnsi="Tahoma" w:cs="Tahoma"/>
          <w:color w:val="000000"/>
          <w:sz w:val="20"/>
          <w:szCs w:val="20"/>
        </w:rPr>
        <w:t xml:space="preserve"> Sala del Tribunal para que resuelva.</w:t>
      </w:r>
    </w:p>
    <w:p w:rsidR="00E0335B" w:rsidRPr="006661F0" w:rsidRDefault="00E0335B" w:rsidP="00E0335B">
      <w:pPr>
        <w:pStyle w:val="NormalWeb"/>
        <w:tabs>
          <w:tab w:val="num" w:pos="900"/>
        </w:tabs>
        <w:spacing w:before="0" w:beforeAutospacing="0" w:after="0" w:afterAutospacing="0"/>
        <w:jc w:val="both"/>
        <w:rPr>
          <w:rFonts w:ascii="Tahoma" w:hAnsi="Tahoma" w:cs="Tahoma"/>
          <w:sz w:val="20"/>
          <w:szCs w:val="20"/>
        </w:rPr>
      </w:pPr>
    </w:p>
    <w:p w:rsidR="00E0335B" w:rsidRPr="006661F0" w:rsidRDefault="00E0335B" w:rsidP="00E0335B">
      <w:pPr>
        <w:tabs>
          <w:tab w:val="num" w:pos="9720"/>
        </w:tabs>
        <w:spacing w:after="0" w:line="240" w:lineRule="auto"/>
        <w:jc w:val="both"/>
        <w:rPr>
          <w:rFonts w:ascii="Tahoma" w:hAnsi="Tahoma" w:cs="Tahoma"/>
          <w:b/>
          <w:sz w:val="20"/>
          <w:szCs w:val="20"/>
        </w:rPr>
      </w:pPr>
      <w:r w:rsidRPr="006661F0">
        <w:rPr>
          <w:rFonts w:ascii="Tahoma" w:hAnsi="Tahoma" w:cs="Tahoma"/>
          <w:b/>
          <w:sz w:val="20"/>
          <w:szCs w:val="20"/>
        </w:rPr>
        <w:t>FUNDAMENTACIÓN:</w:t>
      </w:r>
    </w:p>
    <w:p w:rsidR="006661F0" w:rsidRDefault="006661F0" w:rsidP="00E0335B">
      <w:pPr>
        <w:rPr>
          <w:rFonts w:ascii="Tahoma" w:hAnsi="Tahoma" w:cs="Tahoma"/>
          <w:b/>
          <w:bCs/>
          <w:sz w:val="20"/>
          <w:szCs w:val="20"/>
          <w:u w:val="single"/>
        </w:rPr>
      </w:pPr>
    </w:p>
    <w:p w:rsidR="00E0335B" w:rsidRPr="006661F0" w:rsidRDefault="00E0335B" w:rsidP="00E0335B">
      <w:pPr>
        <w:rPr>
          <w:rFonts w:ascii="Tahoma" w:hAnsi="Tahoma" w:cs="Tahoma"/>
          <w:b/>
          <w:bCs/>
          <w:sz w:val="20"/>
          <w:szCs w:val="20"/>
        </w:rPr>
      </w:pPr>
      <w:r w:rsidRPr="006661F0">
        <w:rPr>
          <w:rFonts w:ascii="Tahoma" w:hAnsi="Tahoma" w:cs="Tahoma"/>
          <w:b/>
          <w:bCs/>
          <w:sz w:val="20"/>
          <w:szCs w:val="20"/>
          <w:u w:val="single"/>
        </w:rPr>
        <w:t>De la Competencia del Tribunal de Contrataciones del Estado</w:t>
      </w:r>
    </w:p>
    <w:p w:rsidR="00E0335B" w:rsidRDefault="00E0335B" w:rsidP="006661F0">
      <w:pPr>
        <w:numPr>
          <w:ilvl w:val="0"/>
          <w:numId w:val="2"/>
        </w:numPr>
        <w:spacing w:after="0" w:line="240" w:lineRule="auto"/>
        <w:jc w:val="both"/>
        <w:rPr>
          <w:rFonts w:ascii="Tahoma" w:hAnsi="Tahoma" w:cs="Tahoma"/>
          <w:sz w:val="20"/>
          <w:szCs w:val="20"/>
        </w:rPr>
      </w:pPr>
      <w:r w:rsidRPr="006661F0">
        <w:rPr>
          <w:rFonts w:ascii="Tahoma" w:hAnsi="Tahoma" w:cs="Tahoma"/>
          <w:sz w:val="20"/>
          <w:szCs w:val="20"/>
        </w:rPr>
        <w:t xml:space="preserve">El numeral 1 del artículo 235 de la Ley 27444, Ley de Procedimiento Administrativo General, establece que el Procedimiento Administrativo Sancionador se inicia siempre de oficio, bien por propia iniciativa o como consecuencia de orden superior, </w:t>
      </w:r>
      <w:r w:rsidR="006661F0">
        <w:rPr>
          <w:rFonts w:ascii="Tahoma" w:hAnsi="Tahoma" w:cs="Tahoma"/>
          <w:sz w:val="20"/>
          <w:szCs w:val="20"/>
        </w:rPr>
        <w:t>p</w:t>
      </w:r>
      <w:r w:rsidRPr="006661F0">
        <w:rPr>
          <w:rFonts w:ascii="Tahoma" w:hAnsi="Tahoma" w:cs="Tahoma"/>
          <w:sz w:val="20"/>
          <w:szCs w:val="20"/>
        </w:rPr>
        <w:t>etición motivada de otros órganos o entidades por denuncia.</w:t>
      </w:r>
    </w:p>
    <w:p w:rsidR="006661F0" w:rsidRPr="006661F0" w:rsidRDefault="006661F0" w:rsidP="006661F0">
      <w:pPr>
        <w:spacing w:after="0" w:line="240" w:lineRule="auto"/>
        <w:ind w:left="900"/>
        <w:jc w:val="both"/>
        <w:rPr>
          <w:rFonts w:ascii="Tahoma" w:hAnsi="Tahoma" w:cs="Tahoma"/>
          <w:sz w:val="20"/>
          <w:szCs w:val="20"/>
        </w:rPr>
      </w:pPr>
    </w:p>
    <w:p w:rsidR="00E0335B" w:rsidRPr="006661F0" w:rsidRDefault="00E0335B" w:rsidP="00E0335B">
      <w:pPr>
        <w:numPr>
          <w:ilvl w:val="0"/>
          <w:numId w:val="2"/>
        </w:numPr>
        <w:spacing w:after="0" w:line="240" w:lineRule="auto"/>
        <w:jc w:val="both"/>
        <w:rPr>
          <w:rFonts w:ascii="Tahoma" w:hAnsi="Tahoma" w:cs="Tahoma"/>
          <w:sz w:val="20"/>
          <w:szCs w:val="20"/>
        </w:rPr>
      </w:pPr>
      <w:r w:rsidRPr="006661F0">
        <w:rPr>
          <w:rFonts w:ascii="Tahoma" w:hAnsi="Tahoma" w:cs="Tahoma"/>
          <w:sz w:val="20"/>
          <w:szCs w:val="20"/>
        </w:rPr>
        <w:t>En ese sentido, el Tribunal de Contrataciones del Estado es el órgano que tiene a su cargo el conocimiento y resolución de procedimientos de imposición de sanción de inhabilitación temporal o definitiva y económicas,  a que se contraen el artículo  y 52º de la Ley (Texto Único Ordenado de la Ley de Contrataciones y Adquisiciones del Estado), a los proveedores, participantes, postores, contratistas y entidades, según corresponda, por infracciones a las disposiciones contenidas en la Ley y el presente Reglamento.</w:t>
      </w:r>
    </w:p>
    <w:p w:rsidR="006661F0" w:rsidRDefault="006661F0" w:rsidP="00E0335B">
      <w:pPr>
        <w:ind w:left="708"/>
        <w:jc w:val="both"/>
        <w:rPr>
          <w:rFonts w:ascii="Tahoma" w:hAnsi="Tahoma" w:cs="Tahoma"/>
          <w:b/>
          <w:bCs/>
          <w:sz w:val="20"/>
          <w:szCs w:val="20"/>
          <w:u w:val="single"/>
          <w:lang w:val="es-MX"/>
        </w:rPr>
      </w:pPr>
    </w:p>
    <w:p w:rsidR="00E0335B" w:rsidRPr="006661F0" w:rsidRDefault="00E0335B" w:rsidP="00E0335B">
      <w:pPr>
        <w:ind w:left="708"/>
        <w:jc w:val="both"/>
        <w:rPr>
          <w:rFonts w:ascii="Tahoma" w:hAnsi="Tahoma" w:cs="Tahoma"/>
          <w:b/>
          <w:bCs/>
          <w:sz w:val="20"/>
          <w:szCs w:val="20"/>
          <w:u w:val="single"/>
          <w:lang w:val="es-MX"/>
        </w:rPr>
      </w:pPr>
      <w:r w:rsidRPr="006661F0">
        <w:rPr>
          <w:rFonts w:ascii="Tahoma" w:hAnsi="Tahoma" w:cs="Tahoma"/>
          <w:b/>
          <w:bCs/>
          <w:sz w:val="20"/>
          <w:szCs w:val="20"/>
          <w:u w:val="single"/>
          <w:lang w:val="es-MX"/>
        </w:rPr>
        <w:t>Del Procedimiento Sancionador</w:t>
      </w:r>
    </w:p>
    <w:p w:rsidR="00E0335B" w:rsidRPr="006661F0" w:rsidRDefault="00E0335B" w:rsidP="00E0335B">
      <w:pPr>
        <w:numPr>
          <w:ilvl w:val="0"/>
          <w:numId w:val="2"/>
        </w:numPr>
        <w:tabs>
          <w:tab w:val="num" w:pos="454"/>
        </w:tabs>
        <w:spacing w:after="0" w:line="240" w:lineRule="auto"/>
        <w:jc w:val="both"/>
        <w:rPr>
          <w:rFonts w:ascii="Tahoma" w:hAnsi="Tahoma" w:cs="Tahoma"/>
          <w:b/>
          <w:bCs/>
          <w:sz w:val="20"/>
          <w:szCs w:val="20"/>
          <w:u w:val="single"/>
          <w:lang w:val="es-MX"/>
        </w:rPr>
      </w:pPr>
      <w:r w:rsidRPr="006661F0">
        <w:rPr>
          <w:rFonts w:ascii="Tahoma" w:hAnsi="Tahoma" w:cs="Tahoma"/>
          <w:sz w:val="20"/>
          <w:szCs w:val="20"/>
          <w:lang w:val="es-MX"/>
        </w:rPr>
        <w:t xml:space="preserve">El presente caso está referido a la supuesta responsabilidad de la empresa </w:t>
      </w:r>
      <w:r w:rsidRPr="006661F0">
        <w:rPr>
          <w:rFonts w:ascii="Tahoma" w:hAnsi="Tahoma" w:cs="Tahoma"/>
          <w:sz w:val="20"/>
          <w:szCs w:val="20"/>
        </w:rPr>
        <w:t>R&amp;R CONSULTORA CONTRATISTAS GENERALES S.R.L.,</w:t>
      </w:r>
      <w:r w:rsidRPr="006661F0">
        <w:rPr>
          <w:rFonts w:ascii="Tahoma" w:hAnsi="Tahoma" w:cs="Tahoma"/>
          <w:sz w:val="20"/>
          <w:szCs w:val="20"/>
          <w:lang w:val="es-MX"/>
        </w:rPr>
        <w:t xml:space="preserve"> por la presentación de documentos falsos durante </w:t>
      </w:r>
      <w:r w:rsidRPr="006661F0">
        <w:rPr>
          <w:rFonts w:ascii="Tahoma" w:hAnsi="Tahoma" w:cs="Tahoma"/>
          <w:sz w:val="20"/>
          <w:szCs w:val="20"/>
        </w:rPr>
        <w:t>la realización del trámite de Renovación de Inscripción como Proveedor de Bienes y Servicios ante el Registro Nacional de Proveedores</w:t>
      </w:r>
      <w:r w:rsidRPr="006661F0">
        <w:rPr>
          <w:rFonts w:ascii="Tahoma" w:hAnsi="Tahoma" w:cs="Tahoma"/>
          <w:sz w:val="20"/>
          <w:szCs w:val="20"/>
          <w:lang w:val="es-MX"/>
        </w:rPr>
        <w:t xml:space="preserve">, </w:t>
      </w:r>
      <w:r w:rsidRPr="006661F0">
        <w:rPr>
          <w:rFonts w:ascii="Tahoma" w:hAnsi="Tahoma" w:cs="Tahoma"/>
          <w:sz w:val="20"/>
          <w:szCs w:val="20"/>
        </w:rPr>
        <w:t>infracción tipificada en el numeral 10) del artículo 294</w:t>
      </w:r>
      <w:r w:rsidRPr="006661F0">
        <w:rPr>
          <w:rStyle w:val="Refdenotaalpie"/>
          <w:rFonts w:ascii="Tahoma" w:hAnsi="Tahoma" w:cs="Tahoma"/>
          <w:sz w:val="20"/>
          <w:szCs w:val="20"/>
        </w:rPr>
        <w:footnoteReference w:id="2"/>
      </w:r>
      <w:r w:rsidRPr="006661F0">
        <w:rPr>
          <w:rFonts w:ascii="Tahoma" w:hAnsi="Tahoma" w:cs="Tahoma"/>
          <w:sz w:val="20"/>
          <w:szCs w:val="20"/>
        </w:rPr>
        <w:t xml:space="preserve"> del Reglamento de la Ley de Contrataciones y Adquisiciones del Estado, aprobado por Decreto Supremo N.° 084-2004-PCM, en adelante el Reglamento.</w:t>
      </w:r>
    </w:p>
    <w:p w:rsidR="006661F0" w:rsidRPr="006661F0" w:rsidRDefault="006661F0" w:rsidP="006661F0">
      <w:pPr>
        <w:spacing w:after="0" w:line="240" w:lineRule="auto"/>
        <w:ind w:left="900"/>
        <w:jc w:val="both"/>
        <w:rPr>
          <w:rFonts w:ascii="Tahoma" w:hAnsi="Tahoma" w:cs="Tahoma"/>
          <w:sz w:val="20"/>
          <w:szCs w:val="20"/>
          <w:lang w:val="es-MX"/>
        </w:rPr>
      </w:pPr>
    </w:p>
    <w:p w:rsidR="00E0335B" w:rsidRPr="006661F0" w:rsidRDefault="00E0335B" w:rsidP="00E0335B">
      <w:pPr>
        <w:numPr>
          <w:ilvl w:val="0"/>
          <w:numId w:val="2"/>
        </w:numPr>
        <w:tabs>
          <w:tab w:val="num" w:pos="454"/>
        </w:tabs>
        <w:spacing w:after="0" w:line="240" w:lineRule="auto"/>
        <w:jc w:val="both"/>
        <w:rPr>
          <w:rFonts w:ascii="Tahoma" w:hAnsi="Tahoma" w:cs="Tahoma"/>
          <w:sz w:val="20"/>
          <w:szCs w:val="20"/>
          <w:lang w:val="es-MX"/>
        </w:rPr>
      </w:pPr>
      <w:r w:rsidRPr="006661F0">
        <w:rPr>
          <w:rFonts w:ascii="Tahoma" w:hAnsi="Tahoma" w:cs="Tahoma"/>
          <w:sz w:val="20"/>
          <w:szCs w:val="20"/>
        </w:rPr>
        <w:t xml:space="preserve">Asimismo, de acuerdo con el </w:t>
      </w:r>
      <w:r w:rsidRPr="006661F0">
        <w:rPr>
          <w:rFonts w:ascii="Tahoma" w:hAnsi="Tahoma" w:cs="Tahoma"/>
          <w:i/>
          <w:iCs/>
          <w:sz w:val="20"/>
          <w:szCs w:val="20"/>
        </w:rPr>
        <w:t>principio de irrectroactividad</w:t>
      </w:r>
      <w:r w:rsidRPr="006661F0">
        <w:rPr>
          <w:rFonts w:ascii="Tahoma" w:hAnsi="Tahoma" w:cs="Tahoma"/>
          <w:sz w:val="20"/>
          <w:szCs w:val="20"/>
        </w:rPr>
        <w:t xml:space="preserve"> consagrada en el inciso 5) del artículo 230 de la Ley 27444, Ley de Procedimiento Administrativo General, son aplicables las disposiciones sancionatorias vigentes al momento en que el administrado hubiera incurrido en la conducta a sancionar</w:t>
      </w:r>
      <w:r w:rsidRPr="006661F0">
        <w:rPr>
          <w:rStyle w:val="Refdenotaalpie"/>
          <w:rFonts w:ascii="Tahoma" w:hAnsi="Tahoma" w:cs="Tahoma"/>
          <w:sz w:val="20"/>
          <w:szCs w:val="20"/>
        </w:rPr>
        <w:footnoteReference w:id="3"/>
      </w:r>
      <w:r w:rsidRPr="006661F0">
        <w:rPr>
          <w:rFonts w:ascii="Tahoma" w:hAnsi="Tahoma" w:cs="Tahoma"/>
          <w:sz w:val="20"/>
          <w:szCs w:val="20"/>
        </w:rPr>
        <w:t xml:space="preserve">, de modo tal que en el presente caso, para la tipificación de la infracción que presuntamente habría </w:t>
      </w:r>
      <w:r w:rsidRPr="006661F0">
        <w:rPr>
          <w:rFonts w:ascii="Tahoma" w:hAnsi="Tahoma" w:cs="Tahoma"/>
          <w:sz w:val="20"/>
          <w:szCs w:val="20"/>
        </w:rPr>
        <w:lastRenderedPageBreak/>
        <w:t>cometido el Postor, resultan de aplicación las disposiciones normativas contenidas en los derogados Decretos Supremos Nº 083-2004-PCM y Nº 084-2004-PCM citados en el numeral anterior.</w:t>
      </w:r>
    </w:p>
    <w:p w:rsidR="006661F0" w:rsidRPr="006661F0" w:rsidRDefault="006661F0" w:rsidP="006661F0">
      <w:pPr>
        <w:spacing w:after="0" w:line="240" w:lineRule="auto"/>
        <w:ind w:left="900"/>
        <w:jc w:val="both"/>
        <w:rPr>
          <w:rFonts w:ascii="Tahoma" w:hAnsi="Tahoma" w:cs="Tahoma"/>
          <w:sz w:val="20"/>
          <w:szCs w:val="20"/>
          <w:lang w:val="es-MX"/>
        </w:rPr>
      </w:pPr>
    </w:p>
    <w:p w:rsidR="00E0335B" w:rsidRPr="006661F0" w:rsidRDefault="00E0335B" w:rsidP="00E0335B">
      <w:pPr>
        <w:numPr>
          <w:ilvl w:val="0"/>
          <w:numId w:val="2"/>
        </w:numPr>
        <w:tabs>
          <w:tab w:val="num" w:pos="454"/>
        </w:tabs>
        <w:spacing w:after="0" w:line="240" w:lineRule="auto"/>
        <w:jc w:val="both"/>
        <w:rPr>
          <w:rFonts w:ascii="Tahoma" w:hAnsi="Tahoma" w:cs="Tahoma"/>
          <w:sz w:val="20"/>
          <w:szCs w:val="20"/>
          <w:lang w:val="es-MX"/>
        </w:rPr>
      </w:pPr>
      <w:r w:rsidRPr="006661F0">
        <w:rPr>
          <w:rFonts w:ascii="Tahoma" w:hAnsi="Tahoma" w:cs="Tahoma"/>
          <w:sz w:val="20"/>
          <w:szCs w:val="20"/>
        </w:rPr>
        <w:t>Al respecto, la infracción imputada al Proveedor corresponde a la señalada en el numeral 10) del artículo 294 del Reglamento.</w:t>
      </w:r>
    </w:p>
    <w:p w:rsidR="006661F0" w:rsidRDefault="006661F0" w:rsidP="006661F0">
      <w:pPr>
        <w:spacing w:after="0" w:line="240" w:lineRule="auto"/>
        <w:ind w:left="900"/>
        <w:jc w:val="both"/>
        <w:rPr>
          <w:rFonts w:ascii="Tahoma" w:hAnsi="Tahoma" w:cs="Tahoma"/>
          <w:sz w:val="20"/>
          <w:szCs w:val="20"/>
          <w:lang w:val="es-MX"/>
        </w:rPr>
      </w:pPr>
    </w:p>
    <w:p w:rsidR="00E0335B" w:rsidRPr="006661F0" w:rsidRDefault="00E0335B" w:rsidP="00E0335B">
      <w:pPr>
        <w:numPr>
          <w:ilvl w:val="0"/>
          <w:numId w:val="2"/>
        </w:numPr>
        <w:tabs>
          <w:tab w:val="num" w:pos="454"/>
        </w:tabs>
        <w:spacing w:after="0" w:line="240" w:lineRule="auto"/>
        <w:jc w:val="both"/>
        <w:rPr>
          <w:rFonts w:ascii="Tahoma" w:hAnsi="Tahoma" w:cs="Tahoma"/>
          <w:sz w:val="20"/>
          <w:szCs w:val="20"/>
          <w:lang w:val="es-MX"/>
        </w:rPr>
      </w:pPr>
      <w:r w:rsidRPr="006661F0">
        <w:rPr>
          <w:rFonts w:ascii="Tahoma" w:hAnsi="Tahoma" w:cs="Tahoma"/>
          <w:sz w:val="20"/>
          <w:szCs w:val="20"/>
          <w:lang w:val="es-MX"/>
        </w:rPr>
        <w:t xml:space="preserve">Para </w:t>
      </w:r>
      <w:r w:rsidRPr="006661F0">
        <w:rPr>
          <w:rFonts w:ascii="Tahoma" w:hAnsi="Tahoma" w:cs="Tahoma"/>
          <w:sz w:val="20"/>
          <w:szCs w:val="20"/>
        </w:rPr>
        <w:t xml:space="preserve">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y que haya sido presentado durante cualquier procedimiento seguido ante el Registro Nacional de Proveedores, ocasionando el  quebrantamiento de los </w:t>
      </w:r>
      <w:r w:rsidRPr="006661F0">
        <w:rPr>
          <w:rFonts w:ascii="Tahoma" w:hAnsi="Tahoma" w:cs="Tahoma"/>
          <w:i/>
          <w:iCs/>
          <w:sz w:val="20"/>
          <w:szCs w:val="20"/>
        </w:rPr>
        <w:t>Principios de Moralidad</w:t>
      </w:r>
      <w:r w:rsidRPr="006661F0">
        <w:rPr>
          <w:rFonts w:ascii="Tahoma" w:hAnsi="Tahoma" w:cs="Tahoma"/>
          <w:sz w:val="20"/>
          <w:szCs w:val="20"/>
        </w:rPr>
        <w:t xml:space="preserve"> y de </w:t>
      </w:r>
      <w:r w:rsidRPr="006661F0">
        <w:rPr>
          <w:rFonts w:ascii="Tahoma" w:hAnsi="Tahoma" w:cs="Tahoma"/>
          <w:i/>
          <w:iCs/>
          <w:sz w:val="20"/>
          <w:szCs w:val="20"/>
        </w:rPr>
        <w:t>Presunción de Veracidad</w:t>
      </w:r>
      <w:r w:rsidRPr="006661F0">
        <w:rPr>
          <w:rFonts w:ascii="Tahoma" w:hAnsi="Tahoma" w:cs="Tahoma"/>
          <w:sz w:val="20"/>
          <w:szCs w:val="20"/>
        </w:rPr>
        <w:t>, de conformidad con lo establecido en el inciso 1) del artículo 3 del Texto Único Ordenado de la Ley de Contrataciones y Adquisiciones del Estado, aprobado por Decreto Supremo N.° 083-2004-PCM, en lo sucesivo la Ley, en concordancia con lo dispuesto en el numeral 1.7 del Artículo IV del Título Preliminar y el numeral 42.1 del artículo 42 de la Ley del Procedimiento Administrativo General, Ley N.° 27444.</w:t>
      </w:r>
    </w:p>
    <w:p w:rsidR="00E0335B" w:rsidRPr="006661F0" w:rsidRDefault="00E0335B" w:rsidP="00E0335B">
      <w:pPr>
        <w:pStyle w:val="Prrafodelista1"/>
        <w:rPr>
          <w:rFonts w:ascii="Tahoma" w:hAnsi="Tahoma" w:cs="Tahoma"/>
          <w:sz w:val="20"/>
          <w:szCs w:val="20"/>
        </w:rPr>
      </w:pPr>
    </w:p>
    <w:p w:rsidR="00E0335B" w:rsidRPr="006661F0" w:rsidRDefault="00E0335B" w:rsidP="00E0335B">
      <w:pPr>
        <w:pStyle w:val="Prrafodelista1"/>
        <w:ind w:left="900"/>
        <w:rPr>
          <w:rFonts w:ascii="Tahoma" w:hAnsi="Tahoma" w:cs="Tahoma"/>
          <w:b/>
          <w:bCs/>
          <w:sz w:val="20"/>
          <w:szCs w:val="20"/>
          <w:u w:val="single"/>
        </w:rPr>
      </w:pPr>
      <w:r w:rsidRPr="006661F0">
        <w:rPr>
          <w:rFonts w:ascii="Tahoma" w:hAnsi="Tahoma" w:cs="Tahoma"/>
          <w:b/>
          <w:bCs/>
          <w:sz w:val="20"/>
          <w:szCs w:val="20"/>
          <w:u w:val="single"/>
        </w:rPr>
        <w:t xml:space="preserve">Análisis de los Hechos </w:t>
      </w:r>
    </w:p>
    <w:p w:rsidR="00E0335B" w:rsidRPr="006661F0" w:rsidRDefault="00E0335B" w:rsidP="00E0335B">
      <w:pPr>
        <w:pStyle w:val="Prrafodelista1"/>
        <w:ind w:left="900"/>
        <w:rPr>
          <w:rFonts w:ascii="Tahoma" w:hAnsi="Tahoma" w:cs="Tahoma"/>
          <w:sz w:val="20"/>
          <w:szCs w:val="20"/>
        </w:rPr>
      </w:pPr>
    </w:p>
    <w:p w:rsidR="00E0335B" w:rsidRPr="006661F0" w:rsidRDefault="00E0335B" w:rsidP="00E0335B">
      <w:pPr>
        <w:numPr>
          <w:ilvl w:val="0"/>
          <w:numId w:val="2"/>
        </w:numPr>
        <w:spacing w:after="0" w:line="240" w:lineRule="auto"/>
        <w:jc w:val="both"/>
        <w:rPr>
          <w:rFonts w:ascii="Tahoma" w:hAnsi="Tahoma" w:cs="Tahoma"/>
          <w:sz w:val="20"/>
          <w:szCs w:val="20"/>
        </w:rPr>
      </w:pPr>
      <w:r w:rsidRPr="006661F0">
        <w:rPr>
          <w:rFonts w:ascii="Tahoma" w:hAnsi="Tahoma" w:cs="Tahoma"/>
          <w:sz w:val="20"/>
          <w:szCs w:val="20"/>
        </w:rPr>
        <w:t xml:space="preserve">En el caso que nos ocupa, la imputación contra el Proveedor se refiere a la supuesta falsedad de la </w:t>
      </w:r>
      <w:r w:rsidRPr="006661F0">
        <w:rPr>
          <w:rFonts w:ascii="Tahoma" w:hAnsi="Tahoma" w:cs="Tahoma"/>
          <w:sz w:val="20"/>
          <w:szCs w:val="20"/>
          <w:lang w:val="es-PE"/>
        </w:rPr>
        <w:t>Solicitud – Declaración Jurada Licencia de Funcionamiento Provisional recibido por la Municipalidad Provincial de Arequipa el 12 de agosto de 2007</w:t>
      </w:r>
      <w:r w:rsidRPr="006661F0">
        <w:rPr>
          <w:rFonts w:ascii="Tahoma" w:hAnsi="Tahoma" w:cs="Tahoma"/>
          <w:sz w:val="20"/>
          <w:szCs w:val="20"/>
        </w:rPr>
        <w:t>.</w:t>
      </w:r>
    </w:p>
    <w:p w:rsidR="006661F0" w:rsidRDefault="006661F0" w:rsidP="006661F0">
      <w:pPr>
        <w:spacing w:after="0" w:line="240" w:lineRule="auto"/>
        <w:ind w:left="900"/>
        <w:jc w:val="both"/>
        <w:rPr>
          <w:rFonts w:ascii="Tahoma" w:hAnsi="Tahoma" w:cs="Tahoma"/>
          <w:sz w:val="20"/>
          <w:szCs w:val="20"/>
        </w:rPr>
      </w:pPr>
    </w:p>
    <w:p w:rsidR="00E0335B" w:rsidRPr="006661F0" w:rsidRDefault="00E0335B" w:rsidP="00E0335B">
      <w:pPr>
        <w:numPr>
          <w:ilvl w:val="0"/>
          <w:numId w:val="2"/>
        </w:numPr>
        <w:spacing w:after="0" w:line="240" w:lineRule="auto"/>
        <w:jc w:val="both"/>
        <w:rPr>
          <w:rFonts w:ascii="Tahoma" w:hAnsi="Tahoma" w:cs="Tahoma"/>
          <w:sz w:val="20"/>
          <w:szCs w:val="20"/>
        </w:rPr>
      </w:pPr>
      <w:r w:rsidRPr="006661F0">
        <w:rPr>
          <w:rFonts w:ascii="Tahoma" w:hAnsi="Tahoma" w:cs="Tahoma"/>
          <w:sz w:val="20"/>
          <w:szCs w:val="20"/>
        </w:rPr>
        <w:t xml:space="preserve">En aplicación del </w:t>
      </w:r>
      <w:r w:rsidRPr="006661F0">
        <w:rPr>
          <w:rFonts w:ascii="Tahoma" w:hAnsi="Tahoma" w:cs="Tahoma"/>
          <w:i/>
          <w:iCs/>
          <w:sz w:val="20"/>
          <w:szCs w:val="20"/>
        </w:rPr>
        <w:t xml:space="preserve">Principio de Privilegio de Controles Posteriores, </w:t>
      </w:r>
      <w:r w:rsidRPr="006661F0">
        <w:rPr>
          <w:rFonts w:ascii="Tahoma" w:hAnsi="Tahoma" w:cs="Tahoma"/>
          <w:sz w:val="20"/>
          <w:szCs w:val="20"/>
        </w:rPr>
        <w:t>contemplado en el numeral 1.16 del Artículo IV del Título Preliminar de la Ley N° 27444</w:t>
      </w:r>
      <w:r w:rsidRPr="006661F0">
        <w:rPr>
          <w:rStyle w:val="Refdenotaalpie"/>
          <w:rFonts w:ascii="Tahoma" w:hAnsi="Tahoma" w:cs="Tahoma"/>
          <w:sz w:val="20"/>
          <w:szCs w:val="20"/>
        </w:rPr>
        <w:footnoteReference w:id="4"/>
      </w:r>
      <w:r w:rsidRPr="006661F0">
        <w:rPr>
          <w:rFonts w:ascii="Tahoma" w:hAnsi="Tahoma" w:cs="Tahoma"/>
          <w:sz w:val="20"/>
          <w:szCs w:val="20"/>
        </w:rPr>
        <w:t xml:space="preserve">,  la Entidad solicitó mediante Oficios Nros 1663-2009-OSCE-DSF/SFIS.AA y 4860-2009-OSCE-DSF/SFIS.AA, a la Municipalidad Provincial de Arequipa,  brinde su conformidad a los datos consignados en </w:t>
      </w:r>
      <w:r w:rsidRPr="006661F0">
        <w:rPr>
          <w:rFonts w:ascii="Tahoma" w:hAnsi="Tahoma" w:cs="Tahoma"/>
          <w:sz w:val="20"/>
          <w:szCs w:val="20"/>
          <w:lang w:val="es-PE"/>
        </w:rPr>
        <w:t xml:space="preserve">Licencia de Funcionamiento Provisional con Registro Nº </w:t>
      </w:r>
      <w:r w:rsidRPr="006661F0">
        <w:rPr>
          <w:rFonts w:ascii="Tahoma" w:hAnsi="Tahoma" w:cs="Tahoma"/>
          <w:sz w:val="20"/>
          <w:szCs w:val="20"/>
        </w:rPr>
        <w:t>16999-07, presentada por el Proveedor.</w:t>
      </w:r>
    </w:p>
    <w:p w:rsidR="00E0335B" w:rsidRPr="006661F0" w:rsidRDefault="00E0335B" w:rsidP="00E0335B">
      <w:pPr>
        <w:pStyle w:val="Prrafodelista"/>
        <w:rPr>
          <w:rFonts w:ascii="Tahoma" w:hAnsi="Tahoma" w:cs="Tahoma"/>
          <w:sz w:val="20"/>
        </w:rPr>
      </w:pPr>
    </w:p>
    <w:p w:rsidR="00E0335B" w:rsidRPr="006661F0" w:rsidRDefault="00E0335B" w:rsidP="00E0335B">
      <w:pPr>
        <w:numPr>
          <w:ilvl w:val="0"/>
          <w:numId w:val="2"/>
        </w:numPr>
        <w:spacing w:after="0" w:line="240" w:lineRule="auto"/>
        <w:jc w:val="both"/>
        <w:rPr>
          <w:rFonts w:ascii="Tahoma" w:hAnsi="Tahoma" w:cs="Tahoma"/>
          <w:sz w:val="20"/>
          <w:szCs w:val="20"/>
        </w:rPr>
      </w:pPr>
      <w:r w:rsidRPr="006661F0">
        <w:rPr>
          <w:rFonts w:ascii="Tahoma" w:hAnsi="Tahoma" w:cs="Tahoma"/>
          <w:sz w:val="20"/>
          <w:szCs w:val="20"/>
        </w:rPr>
        <w:t xml:space="preserve">En atención a dicho requerimiento, con Oficio Nº 230-2009-MPA/GAT de fecha 23 de noviembre de 2009, recibido el 30 del mismo mes y año, la Municipalidad Provincial de Arequipa, informó lo siguiente: “ </w:t>
      </w:r>
      <w:r w:rsidRPr="006661F0">
        <w:rPr>
          <w:rFonts w:ascii="Tahoma" w:hAnsi="Tahoma" w:cs="Tahoma"/>
          <w:i/>
          <w:iCs/>
          <w:sz w:val="20"/>
          <w:szCs w:val="20"/>
        </w:rPr>
        <w:t xml:space="preserve">(…) de la verificación efectuada en el sistema informático, le comunico que el Registro Nº 16999-07 corresponde al administrado Alias Mamani Figueroa, por un trámite de descargo de un acta de inspección Nº 081036 en consecuencia el formulario enviado por ustedes </w:t>
      </w:r>
      <w:r w:rsidRPr="006661F0">
        <w:rPr>
          <w:rFonts w:ascii="Tahoma" w:hAnsi="Tahoma" w:cs="Tahoma"/>
          <w:i/>
          <w:iCs/>
          <w:sz w:val="20"/>
          <w:szCs w:val="20"/>
          <w:u w:val="single"/>
        </w:rPr>
        <w:t>no es conforme</w:t>
      </w:r>
      <w:r w:rsidRPr="006661F0">
        <w:rPr>
          <w:rFonts w:ascii="Tahoma" w:hAnsi="Tahoma" w:cs="Tahoma"/>
          <w:i/>
          <w:iCs/>
          <w:sz w:val="20"/>
          <w:szCs w:val="20"/>
        </w:rPr>
        <w:t xml:space="preserve">” </w:t>
      </w:r>
    </w:p>
    <w:p w:rsidR="00E0335B" w:rsidRPr="006661F0" w:rsidRDefault="00E0335B" w:rsidP="00E0335B">
      <w:pPr>
        <w:pStyle w:val="Prrafodelista"/>
        <w:rPr>
          <w:rFonts w:ascii="Tahoma" w:hAnsi="Tahoma" w:cs="Tahoma"/>
          <w:sz w:val="20"/>
        </w:rPr>
      </w:pPr>
    </w:p>
    <w:p w:rsidR="00E0335B" w:rsidRPr="006661F0" w:rsidRDefault="00E0335B" w:rsidP="00E0335B">
      <w:pPr>
        <w:numPr>
          <w:ilvl w:val="0"/>
          <w:numId w:val="2"/>
        </w:numPr>
        <w:spacing w:after="0" w:line="240" w:lineRule="auto"/>
        <w:jc w:val="both"/>
        <w:rPr>
          <w:rFonts w:ascii="Tahoma" w:hAnsi="Tahoma" w:cs="Tahoma"/>
          <w:sz w:val="20"/>
          <w:szCs w:val="20"/>
        </w:rPr>
      </w:pPr>
      <w:r w:rsidRPr="006661F0">
        <w:rPr>
          <w:rFonts w:ascii="Tahoma" w:hAnsi="Tahoma" w:cs="Tahoma"/>
          <w:sz w:val="20"/>
          <w:szCs w:val="20"/>
        </w:rPr>
        <w:t xml:space="preserve">Dicha aseveración emitida por el supuesto emisor, permite constatar que los datos consignados en la </w:t>
      </w:r>
      <w:r w:rsidRPr="006661F0">
        <w:rPr>
          <w:rFonts w:ascii="Tahoma" w:hAnsi="Tahoma" w:cs="Tahoma"/>
          <w:sz w:val="20"/>
          <w:szCs w:val="20"/>
          <w:lang w:val="es-PE"/>
        </w:rPr>
        <w:t xml:space="preserve">Licencia de Funcionamiento Provisional con Registro Nº </w:t>
      </w:r>
      <w:r w:rsidRPr="006661F0">
        <w:rPr>
          <w:rFonts w:ascii="Tahoma" w:hAnsi="Tahoma" w:cs="Tahoma"/>
          <w:sz w:val="20"/>
          <w:szCs w:val="20"/>
        </w:rPr>
        <w:t xml:space="preserve">16999-07, son falsos, pues el Registro Nº 16999 le corresponde al administrado </w:t>
      </w:r>
      <w:r w:rsidRPr="006661F0">
        <w:rPr>
          <w:rFonts w:ascii="Tahoma" w:hAnsi="Tahoma" w:cs="Tahoma"/>
          <w:i/>
          <w:iCs/>
          <w:sz w:val="20"/>
          <w:szCs w:val="20"/>
        </w:rPr>
        <w:t>Alias Mamani Figueroa,</w:t>
      </w:r>
      <w:r w:rsidRPr="006661F0">
        <w:rPr>
          <w:rFonts w:ascii="Tahoma" w:hAnsi="Tahoma" w:cs="Tahoma"/>
          <w:sz w:val="20"/>
          <w:szCs w:val="20"/>
        </w:rPr>
        <w:t xml:space="preserve"> hechos que constituye prueba suficiente que permite desvirtuar </w:t>
      </w:r>
      <w:r w:rsidRPr="006661F0">
        <w:rPr>
          <w:rFonts w:ascii="Tahoma" w:hAnsi="Tahoma" w:cs="Tahoma"/>
          <w:sz w:val="20"/>
          <w:szCs w:val="20"/>
        </w:rPr>
        <w:lastRenderedPageBreak/>
        <w:t>el principio de Presunción de Veracidad que rige a los procedimientos administrativos, criterio que ha sido adoptado en reiterados pronunciamientos de este Tribunal.</w:t>
      </w:r>
    </w:p>
    <w:p w:rsidR="006661F0" w:rsidRDefault="006661F0" w:rsidP="006661F0">
      <w:pPr>
        <w:spacing w:after="0" w:line="240" w:lineRule="auto"/>
        <w:ind w:left="900"/>
        <w:jc w:val="both"/>
        <w:rPr>
          <w:rFonts w:ascii="Tahoma" w:hAnsi="Tahoma" w:cs="Tahoma"/>
          <w:sz w:val="20"/>
          <w:szCs w:val="20"/>
        </w:rPr>
      </w:pPr>
    </w:p>
    <w:p w:rsidR="00E0335B" w:rsidRPr="006661F0" w:rsidRDefault="00E0335B" w:rsidP="00E0335B">
      <w:pPr>
        <w:numPr>
          <w:ilvl w:val="0"/>
          <w:numId w:val="2"/>
        </w:numPr>
        <w:spacing w:after="0" w:line="240" w:lineRule="auto"/>
        <w:jc w:val="both"/>
        <w:rPr>
          <w:rFonts w:ascii="Tahoma" w:hAnsi="Tahoma" w:cs="Tahoma"/>
          <w:sz w:val="20"/>
          <w:szCs w:val="20"/>
        </w:rPr>
      </w:pPr>
      <w:r w:rsidRPr="006661F0">
        <w:rPr>
          <w:rFonts w:ascii="Tahoma" w:hAnsi="Tahoma" w:cs="Tahoma"/>
          <w:sz w:val="20"/>
          <w:szCs w:val="20"/>
        </w:rPr>
        <w:t>Respecto a la infracción configurada como sancionable, el Proveedor no ha presentado argumento de defensa alguno que desvirtúe su responsabilidad, a pesar de haber sido debidamente notificado mediante Cédula de Notificación Nº 3676/2011.TC el 11 de febrero de 2011.</w:t>
      </w:r>
    </w:p>
    <w:p w:rsidR="00E0335B" w:rsidRPr="006661F0" w:rsidRDefault="00E0335B" w:rsidP="00E0335B">
      <w:pPr>
        <w:pStyle w:val="Prrafodelista"/>
        <w:rPr>
          <w:rFonts w:ascii="Tahoma" w:hAnsi="Tahoma" w:cs="Tahoma"/>
          <w:sz w:val="20"/>
        </w:rPr>
      </w:pPr>
    </w:p>
    <w:p w:rsidR="00E0335B" w:rsidRPr="006661F0" w:rsidRDefault="00E0335B" w:rsidP="00E0335B">
      <w:pPr>
        <w:numPr>
          <w:ilvl w:val="0"/>
          <w:numId w:val="2"/>
        </w:numPr>
        <w:spacing w:after="0" w:line="240" w:lineRule="auto"/>
        <w:jc w:val="both"/>
        <w:rPr>
          <w:rFonts w:ascii="Tahoma" w:hAnsi="Tahoma" w:cs="Tahoma"/>
          <w:sz w:val="20"/>
          <w:szCs w:val="20"/>
        </w:rPr>
      </w:pPr>
      <w:r w:rsidRPr="006661F0">
        <w:rPr>
          <w:rFonts w:ascii="Tahoma" w:hAnsi="Tahoma" w:cs="Tahoma"/>
          <w:sz w:val="20"/>
          <w:szCs w:val="20"/>
        </w:rPr>
        <w:t xml:space="preserve">De lo señalado con anterioridad, se puede concluir que el Proveedor presentó documento falso, a efectos de formalizar su trámite de inscripción en el capítulo de Ejecutores de Obra ante el Registro Nacional de Proveedores, tal como se ha podido </w:t>
      </w:r>
      <w:r w:rsidRPr="006661F0">
        <w:rPr>
          <w:rFonts w:ascii="Tahoma" w:hAnsi="Tahoma" w:cs="Tahoma"/>
          <w:sz w:val="20"/>
          <w:szCs w:val="20"/>
          <w:u w:val="single"/>
        </w:rPr>
        <w:t>constatar de la información proporcionada por la Entidad Edil</w:t>
      </w:r>
      <w:r w:rsidRPr="006661F0">
        <w:rPr>
          <w:rFonts w:ascii="Tahoma" w:hAnsi="Tahoma" w:cs="Tahoma"/>
          <w:sz w:val="20"/>
          <w:szCs w:val="20"/>
        </w:rPr>
        <w:t xml:space="preserve">; con lo cual, queda evidenciado, de todo lo anteriormente expresado, la </w:t>
      </w:r>
      <w:r w:rsidRPr="006661F0">
        <w:rPr>
          <w:rFonts w:ascii="Tahoma" w:hAnsi="Tahoma" w:cs="Tahoma"/>
          <w:i/>
          <w:iCs/>
          <w:sz w:val="20"/>
          <w:szCs w:val="20"/>
        </w:rPr>
        <w:t>trasgresión al Principio de Presunción de Veracidad</w:t>
      </w:r>
      <w:r w:rsidRPr="006661F0">
        <w:rPr>
          <w:rFonts w:ascii="Tahoma" w:hAnsi="Tahoma" w:cs="Tahoma"/>
          <w:sz w:val="20"/>
          <w:szCs w:val="20"/>
        </w:rPr>
        <w:t xml:space="preserve"> en la que incurrió la empresa proveedora.</w:t>
      </w:r>
    </w:p>
    <w:p w:rsidR="00E0335B" w:rsidRPr="006661F0" w:rsidRDefault="00E0335B" w:rsidP="00E0335B">
      <w:pPr>
        <w:pStyle w:val="Prrafodelista"/>
        <w:rPr>
          <w:rFonts w:ascii="Tahoma" w:hAnsi="Tahoma" w:cs="Tahoma"/>
          <w:sz w:val="20"/>
        </w:rPr>
      </w:pPr>
    </w:p>
    <w:p w:rsidR="00E0335B" w:rsidRPr="006661F0" w:rsidRDefault="00E0335B" w:rsidP="00E0335B">
      <w:pPr>
        <w:numPr>
          <w:ilvl w:val="0"/>
          <w:numId w:val="2"/>
        </w:numPr>
        <w:spacing w:after="0" w:line="240" w:lineRule="auto"/>
        <w:jc w:val="both"/>
        <w:rPr>
          <w:rFonts w:ascii="Tahoma" w:hAnsi="Tahoma" w:cs="Tahoma"/>
          <w:sz w:val="20"/>
          <w:szCs w:val="20"/>
        </w:rPr>
      </w:pPr>
      <w:r w:rsidRPr="006661F0">
        <w:rPr>
          <w:rFonts w:ascii="Tahoma" w:hAnsi="Tahoma" w:cs="Tahoma"/>
          <w:sz w:val="20"/>
          <w:szCs w:val="20"/>
        </w:rPr>
        <w:t xml:space="preserve">Finalmente, cabe señalar que si bien es cierto que la licencia de funcionamiento objeto de cuestionamiento no es un requisito establecido en el TUPA del CONSUCODE (actualmente OSCE) para el trámite de inscripción ante el Registro Nacional de Proveedores; sin embargo, ello no obsta para que sea objeto de </w:t>
      </w:r>
      <w:r w:rsidRPr="006661F0">
        <w:rPr>
          <w:rFonts w:ascii="Tahoma" w:hAnsi="Tahoma" w:cs="Tahoma"/>
          <w:i/>
          <w:iCs/>
          <w:sz w:val="20"/>
          <w:szCs w:val="20"/>
        </w:rPr>
        <w:t>fiscalización posterior</w:t>
      </w:r>
      <w:r w:rsidRPr="006661F0">
        <w:rPr>
          <w:rFonts w:ascii="Tahoma" w:hAnsi="Tahoma" w:cs="Tahoma"/>
          <w:sz w:val="20"/>
          <w:szCs w:val="20"/>
        </w:rPr>
        <w:t xml:space="preserve"> al estar de por medio el interés público, toda vez que la empresa denunciada suscribió el formulario oficial </w:t>
      </w:r>
      <w:r w:rsidRPr="006661F0">
        <w:rPr>
          <w:rFonts w:ascii="Tahoma" w:hAnsi="Tahoma" w:cs="Tahoma"/>
          <w:i/>
          <w:iCs/>
          <w:sz w:val="20"/>
          <w:szCs w:val="20"/>
        </w:rPr>
        <w:t>- Declaración Jurada de Veracidad de Documentos de Información y Declaración Presentada</w:t>
      </w:r>
      <w:r w:rsidRPr="006661F0">
        <w:rPr>
          <w:rFonts w:ascii="Tahoma" w:hAnsi="Tahoma" w:cs="Tahoma"/>
          <w:sz w:val="20"/>
          <w:szCs w:val="20"/>
        </w:rPr>
        <w:t xml:space="preserve"> - en la cual manifestó que toda la información proporcionada era veraz, que los documentos presentados eran auténticos, que conocían las sanciones aplicables y que, en caso se comprobase que lo expresado en dicha declaración jurada no se ajustaba a la verdad, asumía la responsabilidad respectiva.  (lo resaltado es nuestro)</w:t>
      </w:r>
    </w:p>
    <w:p w:rsidR="00E0335B" w:rsidRPr="006661F0" w:rsidRDefault="00E0335B" w:rsidP="00E0335B">
      <w:pPr>
        <w:pStyle w:val="Prrafodelista"/>
        <w:rPr>
          <w:rFonts w:ascii="Tahoma" w:hAnsi="Tahoma" w:cs="Tahoma"/>
          <w:sz w:val="20"/>
        </w:rPr>
      </w:pPr>
    </w:p>
    <w:p w:rsidR="00E0335B" w:rsidRPr="006661F0" w:rsidRDefault="00E0335B" w:rsidP="00E0335B">
      <w:pPr>
        <w:numPr>
          <w:ilvl w:val="0"/>
          <w:numId w:val="2"/>
        </w:numPr>
        <w:spacing w:after="0" w:line="240" w:lineRule="auto"/>
        <w:jc w:val="both"/>
        <w:rPr>
          <w:rFonts w:ascii="Tahoma" w:hAnsi="Tahoma" w:cs="Tahoma"/>
          <w:sz w:val="20"/>
          <w:szCs w:val="20"/>
        </w:rPr>
      </w:pPr>
      <w:r w:rsidRPr="006661F0">
        <w:rPr>
          <w:rFonts w:ascii="Tahoma" w:hAnsi="Tahoma" w:cs="Tahoma"/>
          <w:sz w:val="20"/>
          <w:szCs w:val="20"/>
        </w:rPr>
        <w:t>Teniendo en cuenta las consideraciones expuestas, corresponde imponer sanción administrativa al Proveedor, al haber  incurrido en la causal de infracción tipificada en el numeral 10) del artículo 294 del Reglamento.</w:t>
      </w:r>
    </w:p>
    <w:p w:rsidR="006661F0" w:rsidRDefault="006661F0" w:rsidP="00E0335B">
      <w:pPr>
        <w:ind w:left="900"/>
        <w:jc w:val="both"/>
        <w:rPr>
          <w:rFonts w:ascii="Tahoma" w:hAnsi="Tahoma" w:cs="Tahoma"/>
          <w:b/>
          <w:bCs/>
          <w:sz w:val="20"/>
          <w:szCs w:val="20"/>
          <w:u w:val="single"/>
        </w:rPr>
      </w:pPr>
    </w:p>
    <w:p w:rsidR="00E0335B" w:rsidRPr="006661F0" w:rsidRDefault="00E0335B" w:rsidP="00E0335B">
      <w:pPr>
        <w:ind w:left="900"/>
        <w:jc w:val="both"/>
        <w:rPr>
          <w:rFonts w:ascii="Tahoma" w:hAnsi="Tahoma" w:cs="Tahoma"/>
          <w:sz w:val="20"/>
          <w:szCs w:val="20"/>
        </w:rPr>
      </w:pPr>
      <w:r w:rsidRPr="006661F0">
        <w:rPr>
          <w:rFonts w:ascii="Tahoma" w:hAnsi="Tahoma" w:cs="Tahoma"/>
          <w:b/>
          <w:bCs/>
          <w:sz w:val="20"/>
          <w:szCs w:val="20"/>
          <w:u w:val="single"/>
        </w:rPr>
        <w:t>Respecto de la Sanción imponible</w:t>
      </w:r>
      <w:r w:rsidRPr="006661F0">
        <w:rPr>
          <w:rFonts w:ascii="Tahoma" w:hAnsi="Tahoma" w:cs="Tahoma"/>
          <w:sz w:val="20"/>
          <w:szCs w:val="20"/>
        </w:rPr>
        <w:t>.</w:t>
      </w:r>
    </w:p>
    <w:p w:rsidR="00E0335B" w:rsidRPr="006661F0" w:rsidRDefault="00E0335B" w:rsidP="00E0335B">
      <w:pPr>
        <w:numPr>
          <w:ilvl w:val="0"/>
          <w:numId w:val="2"/>
        </w:numPr>
        <w:tabs>
          <w:tab w:val="left" w:pos="1080"/>
        </w:tabs>
        <w:spacing w:after="0" w:line="240" w:lineRule="auto"/>
        <w:jc w:val="both"/>
        <w:rPr>
          <w:rFonts w:ascii="Tahoma" w:hAnsi="Tahoma" w:cs="Tahoma"/>
          <w:sz w:val="20"/>
          <w:szCs w:val="20"/>
        </w:rPr>
      </w:pPr>
      <w:r w:rsidRPr="006661F0">
        <w:rPr>
          <w:rFonts w:ascii="Tahoma" w:hAnsi="Tahoma" w:cs="Tahoma"/>
          <w:sz w:val="20"/>
          <w:szCs w:val="20"/>
        </w:rPr>
        <w:t>En relación a la graduación de la sanción imponible, el artículo 294º del Reglamento establece que los postores que presente documentos falsos o inexactos serán sancionados con inhabilitación temporal para contratar con el Estado por un periodo no menor de tres (3) meses ni mayor de doce (12) meses.</w:t>
      </w:r>
    </w:p>
    <w:p w:rsidR="006661F0" w:rsidRDefault="006661F0" w:rsidP="006661F0">
      <w:pPr>
        <w:tabs>
          <w:tab w:val="left" w:pos="1080"/>
        </w:tabs>
        <w:spacing w:after="0" w:line="240" w:lineRule="auto"/>
        <w:ind w:left="900"/>
        <w:jc w:val="both"/>
        <w:rPr>
          <w:rFonts w:ascii="Tahoma" w:hAnsi="Tahoma" w:cs="Tahoma"/>
          <w:sz w:val="20"/>
          <w:szCs w:val="20"/>
        </w:rPr>
      </w:pPr>
    </w:p>
    <w:p w:rsidR="00E0335B" w:rsidRPr="006661F0" w:rsidRDefault="00E0335B" w:rsidP="00E0335B">
      <w:pPr>
        <w:numPr>
          <w:ilvl w:val="0"/>
          <w:numId w:val="2"/>
        </w:numPr>
        <w:tabs>
          <w:tab w:val="left" w:pos="1080"/>
        </w:tabs>
        <w:spacing w:after="0" w:line="240" w:lineRule="auto"/>
        <w:jc w:val="both"/>
        <w:rPr>
          <w:rFonts w:ascii="Tahoma" w:hAnsi="Tahoma" w:cs="Tahoma"/>
          <w:sz w:val="20"/>
          <w:szCs w:val="20"/>
        </w:rPr>
      </w:pPr>
      <w:r w:rsidRPr="006661F0">
        <w:rPr>
          <w:rFonts w:ascii="Tahoma" w:hAnsi="Tahoma" w:cs="Tahoma"/>
          <w:sz w:val="20"/>
          <w:szCs w:val="20"/>
        </w:rPr>
        <w:t xml:space="preserve"> En tal sentido, y a efectos de graduar la sanción a imponerse, este Colegiado  tiene en consideración los criterios consignados en el artículo 302 del Reglamento, entre ellos, la naturaleza de la infracción, la reiterancia, las condiciones del infractor y la conducta procesal del mismo, debiendo tenerse en cuenta, en el presente caso lo siguiente: </w:t>
      </w:r>
    </w:p>
    <w:p w:rsidR="006661F0" w:rsidRDefault="006661F0" w:rsidP="006661F0">
      <w:pPr>
        <w:pStyle w:val="Prrafodelista1"/>
        <w:ind w:left="1080"/>
        <w:jc w:val="both"/>
        <w:rPr>
          <w:rFonts w:ascii="Tahoma" w:hAnsi="Tahoma" w:cs="Tahoma"/>
          <w:sz w:val="20"/>
          <w:szCs w:val="20"/>
        </w:rPr>
      </w:pPr>
    </w:p>
    <w:p w:rsidR="00E0335B" w:rsidRPr="006661F0" w:rsidRDefault="00E0335B" w:rsidP="00E0335B">
      <w:pPr>
        <w:pStyle w:val="Prrafodelista1"/>
        <w:numPr>
          <w:ilvl w:val="0"/>
          <w:numId w:val="3"/>
        </w:numPr>
        <w:jc w:val="both"/>
        <w:rPr>
          <w:rFonts w:ascii="Tahoma" w:hAnsi="Tahoma" w:cs="Tahoma"/>
          <w:sz w:val="20"/>
          <w:szCs w:val="20"/>
        </w:rPr>
      </w:pPr>
      <w:r w:rsidRPr="006661F0">
        <w:rPr>
          <w:rFonts w:ascii="Tahoma" w:hAnsi="Tahoma" w:cs="Tahoma"/>
          <w:sz w:val="20"/>
          <w:szCs w:val="20"/>
        </w:rPr>
        <w:t xml:space="preserve">La infracción cometida reviste una considerable gravedad, debido a que vulnera el </w:t>
      </w:r>
      <w:r w:rsidRPr="006661F0">
        <w:rPr>
          <w:rFonts w:ascii="Tahoma" w:hAnsi="Tahoma" w:cs="Tahoma"/>
          <w:i/>
          <w:iCs/>
          <w:sz w:val="20"/>
          <w:szCs w:val="20"/>
        </w:rPr>
        <w:t xml:space="preserve">Principio de Moralidad </w:t>
      </w:r>
      <w:r w:rsidRPr="006661F0">
        <w:rPr>
          <w:rFonts w:ascii="Tahoma" w:hAnsi="Tahoma" w:cs="Tahoma"/>
          <w:sz w:val="20"/>
          <w:szCs w:val="20"/>
        </w:rPr>
        <w:t xml:space="preserve">que debe regir a todos los actos vinculados a las contrataciones públicas. Por lo demás, dicho principio, junto a la </w:t>
      </w:r>
      <w:r w:rsidRPr="006661F0">
        <w:rPr>
          <w:rFonts w:ascii="Tahoma" w:hAnsi="Tahoma" w:cs="Tahoma"/>
          <w:i/>
          <w:iCs/>
          <w:sz w:val="20"/>
          <w:szCs w:val="20"/>
        </w:rPr>
        <w:t>fe pública</w:t>
      </w:r>
      <w:r w:rsidRPr="006661F0">
        <w:rPr>
          <w:rFonts w:ascii="Tahoma" w:hAnsi="Tahoma" w:cs="Tahoma"/>
          <w:sz w:val="20"/>
          <w:szCs w:val="20"/>
        </w:rPr>
        <w:t xml:space="preserve">, constituyen bienes jurídicos merecedores de protección especial, pues constituyen </w:t>
      </w:r>
      <w:r w:rsidRPr="006661F0">
        <w:rPr>
          <w:rFonts w:ascii="Tahoma" w:hAnsi="Tahoma" w:cs="Tahoma"/>
          <w:sz w:val="20"/>
          <w:szCs w:val="20"/>
        </w:rPr>
        <w:lastRenderedPageBreak/>
        <w:t>los pilares de las relaciones suscitadas entre la Administración Pública y los administrados.</w:t>
      </w:r>
    </w:p>
    <w:p w:rsidR="00E0335B" w:rsidRPr="006661F0" w:rsidRDefault="00E0335B" w:rsidP="00E0335B">
      <w:pPr>
        <w:pStyle w:val="Prrafodelista1"/>
        <w:ind w:left="1080"/>
        <w:rPr>
          <w:rFonts w:ascii="Tahoma" w:hAnsi="Tahoma" w:cs="Tahoma"/>
          <w:sz w:val="20"/>
          <w:szCs w:val="20"/>
        </w:rPr>
      </w:pPr>
    </w:p>
    <w:p w:rsidR="00E0335B" w:rsidRPr="006661F0" w:rsidRDefault="00E0335B" w:rsidP="00E0335B">
      <w:pPr>
        <w:pStyle w:val="Prrafodelista1"/>
        <w:numPr>
          <w:ilvl w:val="0"/>
          <w:numId w:val="3"/>
        </w:numPr>
        <w:jc w:val="both"/>
        <w:rPr>
          <w:rFonts w:ascii="Tahoma" w:hAnsi="Tahoma" w:cs="Tahoma"/>
          <w:sz w:val="20"/>
          <w:szCs w:val="20"/>
        </w:rPr>
      </w:pPr>
      <w:r w:rsidRPr="006661F0">
        <w:rPr>
          <w:rFonts w:ascii="Tahoma" w:hAnsi="Tahoma" w:cs="Tahoma"/>
          <w:sz w:val="20"/>
          <w:szCs w:val="20"/>
        </w:rPr>
        <w:t xml:space="preserve">La falsedad del mencionado documento presentado por el Proveedor en su  trámite de inscripción en el capítulo de Ejecutores de Obra ante el Registro Nacional de Proveedores, ha  sido fehacientemente </w:t>
      </w:r>
      <w:r w:rsidRPr="006661F0">
        <w:rPr>
          <w:rFonts w:ascii="Tahoma" w:hAnsi="Tahoma" w:cs="Tahoma"/>
          <w:color w:val="000000"/>
          <w:sz w:val="20"/>
          <w:szCs w:val="20"/>
        </w:rPr>
        <w:t>acreditada por la Entidad y por este Colegiado.</w:t>
      </w:r>
    </w:p>
    <w:p w:rsidR="00E0335B" w:rsidRPr="006661F0" w:rsidRDefault="00E0335B" w:rsidP="00E0335B">
      <w:pPr>
        <w:pStyle w:val="Prrafodelista1"/>
        <w:rPr>
          <w:rFonts w:ascii="Tahoma" w:hAnsi="Tahoma" w:cs="Tahoma"/>
          <w:sz w:val="20"/>
          <w:szCs w:val="20"/>
        </w:rPr>
      </w:pPr>
    </w:p>
    <w:p w:rsidR="00E0335B" w:rsidRPr="006661F0" w:rsidRDefault="00E0335B" w:rsidP="00E0335B">
      <w:pPr>
        <w:pStyle w:val="Prrafodelista1"/>
        <w:numPr>
          <w:ilvl w:val="0"/>
          <w:numId w:val="3"/>
        </w:numPr>
        <w:jc w:val="both"/>
        <w:rPr>
          <w:rFonts w:ascii="Tahoma" w:hAnsi="Tahoma" w:cs="Tahoma"/>
          <w:sz w:val="20"/>
          <w:szCs w:val="20"/>
        </w:rPr>
      </w:pPr>
      <w:r w:rsidRPr="006661F0">
        <w:rPr>
          <w:rFonts w:ascii="Tahoma" w:hAnsi="Tahoma" w:cs="Tahoma"/>
          <w:sz w:val="20"/>
          <w:szCs w:val="20"/>
        </w:rPr>
        <w:t>Así, también debe evaluarse la conducta adoptada por el Proveedor a lo largo del procedimiento, quién  no ha presentado sus descargos.</w:t>
      </w:r>
    </w:p>
    <w:p w:rsidR="00E0335B" w:rsidRPr="006661F0" w:rsidRDefault="00E0335B" w:rsidP="00E0335B">
      <w:pPr>
        <w:pStyle w:val="Prrafodelista1"/>
        <w:rPr>
          <w:rFonts w:ascii="Tahoma" w:hAnsi="Tahoma" w:cs="Tahoma"/>
          <w:sz w:val="20"/>
          <w:szCs w:val="20"/>
        </w:rPr>
      </w:pPr>
    </w:p>
    <w:p w:rsidR="00E0335B" w:rsidRPr="006661F0" w:rsidRDefault="00E0335B" w:rsidP="00E0335B">
      <w:pPr>
        <w:pStyle w:val="Prrafodelista1"/>
        <w:numPr>
          <w:ilvl w:val="0"/>
          <w:numId w:val="3"/>
        </w:numPr>
        <w:jc w:val="both"/>
        <w:rPr>
          <w:rFonts w:ascii="Tahoma" w:hAnsi="Tahoma" w:cs="Tahoma"/>
          <w:sz w:val="20"/>
          <w:szCs w:val="20"/>
        </w:rPr>
      </w:pPr>
      <w:r w:rsidRPr="006661F0">
        <w:rPr>
          <w:rFonts w:ascii="Tahoma" w:hAnsi="Tahoma" w:cs="Tahoma"/>
          <w:sz w:val="20"/>
          <w:szCs w:val="20"/>
        </w:rPr>
        <w:t>Sin perjuicio de lo anterior, en lo que concierne a las condiciones del infractor, es importante indicar que el Proveedor no cuenta con antecedentes en la comisión de infracciones previstas en el Reglamento, lo cual será tomado en consideración por esta Sala como criterio atenuante de la sanción a imponerse.</w:t>
      </w:r>
    </w:p>
    <w:p w:rsidR="00E0335B" w:rsidRPr="006661F0" w:rsidRDefault="00E0335B" w:rsidP="00E0335B">
      <w:pPr>
        <w:ind w:left="720"/>
        <w:rPr>
          <w:rFonts w:ascii="Tahoma" w:hAnsi="Tahoma" w:cs="Tahoma"/>
          <w:sz w:val="20"/>
          <w:szCs w:val="20"/>
        </w:rPr>
      </w:pPr>
    </w:p>
    <w:p w:rsidR="00E0335B" w:rsidRPr="006661F0" w:rsidRDefault="00E0335B" w:rsidP="00E0335B">
      <w:pPr>
        <w:numPr>
          <w:ilvl w:val="0"/>
          <w:numId w:val="2"/>
        </w:numPr>
        <w:spacing w:after="0" w:line="240" w:lineRule="auto"/>
        <w:ind w:left="851" w:hanging="491"/>
        <w:jc w:val="both"/>
        <w:rPr>
          <w:rFonts w:ascii="Tahoma" w:hAnsi="Tahoma" w:cs="Tahoma"/>
          <w:sz w:val="20"/>
          <w:szCs w:val="20"/>
        </w:rPr>
      </w:pPr>
      <w:r w:rsidRPr="006661F0">
        <w:rPr>
          <w:rFonts w:ascii="Tahoma" w:hAnsi="Tahoma" w:cs="Tahoma"/>
          <w:sz w:val="20"/>
          <w:szCs w:val="20"/>
        </w:rPr>
        <w:t xml:space="preserve"> Asimismo, </w:t>
      </w:r>
      <w:r w:rsidRPr="006661F0">
        <w:rPr>
          <w:rFonts w:ascii="Tahoma" w:hAnsi="Tahoma" w:cs="Tahoma"/>
          <w:color w:val="000000"/>
          <w:sz w:val="20"/>
          <w:szCs w:val="20"/>
        </w:rPr>
        <w:t xml:space="preserve">resulta importante traer a colación el </w:t>
      </w:r>
      <w:r w:rsidRPr="006661F0">
        <w:rPr>
          <w:rFonts w:ascii="Tahoma" w:hAnsi="Tahoma" w:cs="Tahoma"/>
          <w:i/>
          <w:iCs/>
          <w:color w:val="000000"/>
          <w:sz w:val="20"/>
          <w:szCs w:val="20"/>
        </w:rPr>
        <w:t>Principio de Razonabilidad</w:t>
      </w:r>
      <w:r w:rsidRPr="006661F0">
        <w:rPr>
          <w:rFonts w:ascii="Tahoma" w:hAnsi="Tahoma" w:cs="Tahoma"/>
          <w:color w:val="000000"/>
          <w:sz w:val="20"/>
          <w:szCs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la debida proporción entre los medios a emplear y los fines públicos que deba tutelar, a fin de que respondan a lo estrictamente necesario para la satisfacción de su cometido.</w:t>
      </w:r>
    </w:p>
    <w:p w:rsidR="006661F0" w:rsidRDefault="006661F0" w:rsidP="006661F0">
      <w:pPr>
        <w:spacing w:after="0" w:line="240" w:lineRule="auto"/>
        <w:ind w:left="851"/>
        <w:jc w:val="both"/>
        <w:rPr>
          <w:rFonts w:ascii="Tahoma" w:hAnsi="Tahoma" w:cs="Tahoma"/>
          <w:sz w:val="20"/>
          <w:szCs w:val="20"/>
        </w:rPr>
      </w:pPr>
    </w:p>
    <w:p w:rsidR="00E0335B" w:rsidRPr="006661F0" w:rsidRDefault="00E0335B" w:rsidP="00E0335B">
      <w:pPr>
        <w:numPr>
          <w:ilvl w:val="0"/>
          <w:numId w:val="2"/>
        </w:numPr>
        <w:spacing w:after="0" w:line="240" w:lineRule="auto"/>
        <w:ind w:left="851" w:hanging="491"/>
        <w:jc w:val="both"/>
        <w:rPr>
          <w:rFonts w:ascii="Tahoma" w:hAnsi="Tahoma" w:cs="Tahoma"/>
          <w:sz w:val="20"/>
          <w:szCs w:val="20"/>
        </w:rPr>
      </w:pPr>
      <w:r w:rsidRPr="006661F0">
        <w:rPr>
          <w:rFonts w:ascii="Tahoma" w:hAnsi="Tahoma" w:cs="Tahoma"/>
          <w:sz w:val="20"/>
          <w:szCs w:val="20"/>
        </w:rPr>
        <w:t>Consecuentemente, en virtud a los criterios expuestos, este Colegiado considera que corresponde imponer al contratista una sanción equivalente a nueve (09) meses de inhabilitación temporal para participar en procesos de selección y para contratar con el Estado.</w:t>
      </w:r>
    </w:p>
    <w:p w:rsidR="006661F0" w:rsidRDefault="006661F0" w:rsidP="006661F0">
      <w:pPr>
        <w:spacing w:after="0" w:line="240" w:lineRule="auto"/>
        <w:ind w:left="851"/>
        <w:jc w:val="both"/>
        <w:rPr>
          <w:rFonts w:ascii="Tahoma" w:hAnsi="Tahoma" w:cs="Tahoma"/>
          <w:sz w:val="20"/>
          <w:szCs w:val="20"/>
        </w:rPr>
      </w:pPr>
    </w:p>
    <w:p w:rsidR="00E0335B" w:rsidRPr="006661F0" w:rsidRDefault="00E0335B" w:rsidP="00E0335B">
      <w:pPr>
        <w:numPr>
          <w:ilvl w:val="0"/>
          <w:numId w:val="2"/>
        </w:numPr>
        <w:tabs>
          <w:tab w:val="clear" w:pos="900"/>
        </w:tabs>
        <w:spacing w:after="0" w:line="240" w:lineRule="auto"/>
        <w:ind w:left="851" w:hanging="491"/>
        <w:jc w:val="both"/>
        <w:rPr>
          <w:rFonts w:ascii="Tahoma" w:hAnsi="Tahoma" w:cs="Tahoma"/>
          <w:sz w:val="20"/>
          <w:szCs w:val="20"/>
        </w:rPr>
      </w:pPr>
      <w:r w:rsidRPr="006661F0">
        <w:rPr>
          <w:rFonts w:ascii="Tahoma" w:hAnsi="Tahoma" w:cs="Tahoma"/>
          <w:sz w:val="20"/>
          <w:szCs w:val="20"/>
        </w:rPr>
        <w:t>Finalmente, atendiendo a que los hechos materia del presente análisis se encuentran relacionados a la investigación seguida por el Ministerio Público, por la presunta comisión de los delitos contra la función jurisdiccional ( falsa declaración en procedimiento administrativo) y contra la fe pública ( falsificación de documentos) se dispone poner en conocimiento de dicha autoridad la presente Resolución, para los fines pertinentes.</w:t>
      </w:r>
    </w:p>
    <w:p w:rsidR="00E0335B" w:rsidRPr="006661F0" w:rsidRDefault="00E0335B" w:rsidP="00E0335B">
      <w:pPr>
        <w:spacing w:after="0" w:line="240" w:lineRule="auto"/>
        <w:ind w:firstLine="567"/>
        <w:jc w:val="both"/>
        <w:rPr>
          <w:rFonts w:ascii="Tahoma" w:hAnsi="Tahoma" w:cs="Tahoma"/>
          <w:sz w:val="20"/>
          <w:szCs w:val="20"/>
        </w:rPr>
      </w:pPr>
    </w:p>
    <w:p w:rsidR="00E0335B" w:rsidRPr="006661F0" w:rsidRDefault="00E0335B" w:rsidP="00E0335B">
      <w:pPr>
        <w:spacing w:after="0" w:line="240" w:lineRule="auto"/>
        <w:ind w:left="-284" w:firstLine="360"/>
        <w:jc w:val="both"/>
        <w:rPr>
          <w:rFonts w:ascii="Tahoma" w:hAnsi="Tahoma" w:cs="Tahoma"/>
          <w:sz w:val="20"/>
          <w:szCs w:val="20"/>
        </w:rPr>
      </w:pPr>
      <w:r w:rsidRPr="006661F0">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0335B" w:rsidRDefault="00E0335B" w:rsidP="00E0335B">
      <w:pPr>
        <w:spacing w:after="0" w:line="240" w:lineRule="auto"/>
        <w:jc w:val="both"/>
        <w:rPr>
          <w:rFonts w:ascii="Tahoma" w:hAnsi="Tahoma" w:cs="Tahoma"/>
          <w:sz w:val="20"/>
          <w:szCs w:val="20"/>
        </w:rPr>
      </w:pPr>
    </w:p>
    <w:p w:rsidR="002329E5" w:rsidRDefault="002329E5" w:rsidP="00E0335B">
      <w:pPr>
        <w:spacing w:after="0" w:line="240" w:lineRule="auto"/>
        <w:jc w:val="both"/>
        <w:rPr>
          <w:rFonts w:ascii="Tahoma" w:hAnsi="Tahoma" w:cs="Tahoma"/>
          <w:sz w:val="20"/>
          <w:szCs w:val="20"/>
        </w:rPr>
      </w:pPr>
    </w:p>
    <w:p w:rsidR="002329E5" w:rsidRDefault="002329E5" w:rsidP="00E0335B">
      <w:pPr>
        <w:spacing w:after="0" w:line="240" w:lineRule="auto"/>
        <w:jc w:val="both"/>
        <w:rPr>
          <w:rFonts w:ascii="Tahoma" w:hAnsi="Tahoma" w:cs="Tahoma"/>
          <w:sz w:val="20"/>
          <w:szCs w:val="20"/>
        </w:rPr>
      </w:pPr>
    </w:p>
    <w:p w:rsidR="002329E5" w:rsidRPr="006661F0" w:rsidRDefault="002329E5" w:rsidP="00E0335B">
      <w:pPr>
        <w:spacing w:after="0" w:line="240" w:lineRule="auto"/>
        <w:jc w:val="both"/>
        <w:rPr>
          <w:rFonts w:ascii="Tahoma" w:hAnsi="Tahoma" w:cs="Tahoma"/>
          <w:sz w:val="20"/>
          <w:szCs w:val="20"/>
        </w:rPr>
      </w:pPr>
    </w:p>
    <w:p w:rsidR="00E0335B" w:rsidRPr="006661F0" w:rsidRDefault="00E0335B" w:rsidP="00E0335B">
      <w:pPr>
        <w:spacing w:after="0" w:line="240" w:lineRule="auto"/>
        <w:ind w:right="-315"/>
        <w:jc w:val="both"/>
        <w:rPr>
          <w:rFonts w:ascii="Tahoma" w:hAnsi="Tahoma" w:cs="Tahoma"/>
          <w:b/>
          <w:sz w:val="20"/>
          <w:szCs w:val="20"/>
        </w:rPr>
      </w:pPr>
      <w:r w:rsidRPr="006661F0">
        <w:rPr>
          <w:rFonts w:ascii="Tahoma" w:hAnsi="Tahoma" w:cs="Tahoma"/>
          <w:b/>
          <w:sz w:val="20"/>
          <w:szCs w:val="20"/>
        </w:rPr>
        <w:lastRenderedPageBreak/>
        <w:t>LA SALA RESUELVE:</w:t>
      </w:r>
    </w:p>
    <w:p w:rsidR="006661F0" w:rsidRDefault="006661F0" w:rsidP="006661F0">
      <w:pPr>
        <w:pStyle w:val="Prrafodelista"/>
        <w:widowControl/>
        <w:suppressAutoHyphens w:val="0"/>
        <w:ind w:left="851"/>
        <w:jc w:val="both"/>
        <w:rPr>
          <w:rFonts w:ascii="Tahoma" w:hAnsi="Tahoma" w:cs="Tahoma"/>
          <w:sz w:val="20"/>
        </w:rPr>
      </w:pPr>
    </w:p>
    <w:p w:rsidR="00E0335B" w:rsidRPr="006661F0" w:rsidRDefault="00E0335B" w:rsidP="00E0335B">
      <w:pPr>
        <w:pStyle w:val="Prrafodelista"/>
        <w:widowControl/>
        <w:numPr>
          <w:ilvl w:val="0"/>
          <w:numId w:val="5"/>
        </w:numPr>
        <w:suppressAutoHyphens w:val="0"/>
        <w:ind w:left="851" w:hanging="284"/>
        <w:jc w:val="both"/>
        <w:rPr>
          <w:rFonts w:ascii="Tahoma" w:hAnsi="Tahoma" w:cs="Tahoma"/>
          <w:sz w:val="20"/>
        </w:rPr>
      </w:pPr>
      <w:r w:rsidRPr="006661F0">
        <w:rPr>
          <w:rFonts w:ascii="Tahoma" w:hAnsi="Tahoma" w:cs="Tahoma"/>
          <w:sz w:val="20"/>
        </w:rPr>
        <w:t xml:space="preserve">SANCIONAR a la empresa </w:t>
      </w:r>
      <w:r w:rsidRPr="006661F0">
        <w:rPr>
          <w:rFonts w:ascii="Tahoma" w:hAnsi="Tahoma" w:cs="Tahoma"/>
          <w:b/>
          <w:bCs/>
          <w:sz w:val="20"/>
        </w:rPr>
        <w:t>R &amp; R CONSULTORA CONTRATISTAS GENERALES S.R.L.</w:t>
      </w:r>
      <w:r w:rsidRPr="006661F0">
        <w:rPr>
          <w:rFonts w:ascii="Tahoma" w:hAnsi="Tahoma" w:cs="Tahoma"/>
          <w:sz w:val="20"/>
        </w:rPr>
        <w:t xml:space="preserve"> con  nueve (09) meses de inhabilitación temporal para participar en procesos de selección y contratar con el Estado, sanción que entrará en vigencia a partir del sexto día hábil siguiente de notificada la presente resolución.</w:t>
      </w:r>
    </w:p>
    <w:p w:rsidR="00E0335B" w:rsidRPr="006661F0" w:rsidRDefault="00E0335B" w:rsidP="00E0335B">
      <w:pPr>
        <w:pStyle w:val="Prrafodelista"/>
        <w:ind w:left="851"/>
        <w:jc w:val="both"/>
        <w:rPr>
          <w:rFonts w:ascii="Tahoma" w:hAnsi="Tahoma" w:cs="Tahoma"/>
          <w:sz w:val="20"/>
        </w:rPr>
      </w:pPr>
    </w:p>
    <w:p w:rsidR="00E0335B" w:rsidRPr="006661F0" w:rsidRDefault="00E0335B" w:rsidP="00E0335B">
      <w:pPr>
        <w:pStyle w:val="Prrafodelista"/>
        <w:widowControl/>
        <w:numPr>
          <w:ilvl w:val="0"/>
          <w:numId w:val="5"/>
        </w:numPr>
        <w:suppressAutoHyphens w:val="0"/>
        <w:ind w:left="851" w:hanging="284"/>
        <w:jc w:val="both"/>
        <w:rPr>
          <w:rFonts w:ascii="Tahoma" w:hAnsi="Tahoma" w:cs="Tahoma"/>
          <w:sz w:val="20"/>
        </w:rPr>
      </w:pPr>
      <w:r w:rsidRPr="006661F0">
        <w:rPr>
          <w:rFonts w:ascii="Tahoma" w:hAnsi="Tahoma" w:cs="Tahoma"/>
          <w:sz w:val="20"/>
        </w:rPr>
        <w:t>Poner la presente Resolución en conocimiento de la Subdirección del Registro Nacional de Proveedores del Organismo Supervisor de las Contrataciones del Estado (OSCE), para las anotaciones de ley.</w:t>
      </w:r>
    </w:p>
    <w:p w:rsidR="00E0335B" w:rsidRPr="006661F0" w:rsidRDefault="00E0335B" w:rsidP="00E0335B">
      <w:pPr>
        <w:pStyle w:val="Prrafodelista"/>
        <w:ind w:left="0"/>
        <w:jc w:val="both"/>
        <w:rPr>
          <w:rFonts w:ascii="Tahoma" w:hAnsi="Tahoma" w:cs="Tahoma"/>
          <w:sz w:val="20"/>
        </w:rPr>
      </w:pPr>
    </w:p>
    <w:p w:rsidR="00E0335B" w:rsidRPr="006661F0" w:rsidRDefault="00E0335B" w:rsidP="00E0335B">
      <w:pPr>
        <w:pStyle w:val="Prrafodelista"/>
        <w:widowControl/>
        <w:numPr>
          <w:ilvl w:val="0"/>
          <w:numId w:val="5"/>
        </w:numPr>
        <w:suppressAutoHyphens w:val="0"/>
        <w:ind w:left="851" w:hanging="284"/>
        <w:jc w:val="both"/>
        <w:rPr>
          <w:rFonts w:ascii="Tahoma" w:hAnsi="Tahoma" w:cs="Tahoma"/>
          <w:sz w:val="20"/>
        </w:rPr>
      </w:pPr>
      <w:r w:rsidRPr="006661F0">
        <w:rPr>
          <w:rFonts w:ascii="Tahoma" w:hAnsi="Tahoma" w:cs="Tahoma"/>
          <w:sz w:val="20"/>
        </w:rPr>
        <w:t>Poner la presente Resolución en conocimiento del Ministerio Público para los fines pertinentes.</w:t>
      </w:r>
    </w:p>
    <w:p w:rsidR="00E0335B" w:rsidRPr="006661F0" w:rsidRDefault="00E0335B" w:rsidP="00E0335B">
      <w:pPr>
        <w:pStyle w:val="Ttulo3"/>
        <w:spacing w:line="240" w:lineRule="auto"/>
        <w:jc w:val="both"/>
        <w:rPr>
          <w:rFonts w:ascii="Tahoma" w:hAnsi="Tahoma" w:cs="Tahoma"/>
          <w:b w:val="0"/>
          <w:bCs w:val="0"/>
          <w:sz w:val="20"/>
          <w:szCs w:val="20"/>
        </w:rPr>
      </w:pPr>
      <w:r w:rsidRPr="006661F0">
        <w:rPr>
          <w:rFonts w:ascii="Tahoma" w:hAnsi="Tahoma" w:cs="Tahoma"/>
          <w:b w:val="0"/>
          <w:sz w:val="20"/>
          <w:szCs w:val="20"/>
        </w:rPr>
        <w:t>Regístrese, comuníquese y publíquese.</w:t>
      </w:r>
    </w:p>
    <w:p w:rsidR="00E0335B" w:rsidRPr="006661F0" w:rsidRDefault="00E0335B" w:rsidP="00E0335B">
      <w:pPr>
        <w:spacing w:after="0" w:line="240" w:lineRule="auto"/>
        <w:jc w:val="both"/>
        <w:rPr>
          <w:rFonts w:ascii="Tahoma" w:hAnsi="Tahoma" w:cs="Tahoma"/>
          <w:b/>
          <w:shadow/>
          <w:sz w:val="20"/>
          <w:szCs w:val="20"/>
        </w:rPr>
      </w:pPr>
    </w:p>
    <w:p w:rsidR="00E0335B" w:rsidRPr="006661F0" w:rsidRDefault="00E0335B" w:rsidP="00E0335B">
      <w:pPr>
        <w:spacing w:after="0" w:line="240" w:lineRule="auto"/>
        <w:jc w:val="both"/>
        <w:rPr>
          <w:rFonts w:ascii="Tahoma" w:hAnsi="Tahoma" w:cs="Tahoma"/>
          <w:b/>
          <w:shadow/>
          <w:sz w:val="20"/>
          <w:szCs w:val="20"/>
        </w:rPr>
      </w:pPr>
    </w:p>
    <w:p w:rsidR="00E0335B" w:rsidRPr="006661F0" w:rsidRDefault="00E0335B" w:rsidP="00E0335B">
      <w:pPr>
        <w:spacing w:after="0" w:line="240" w:lineRule="auto"/>
        <w:jc w:val="both"/>
        <w:rPr>
          <w:rFonts w:ascii="Tahoma" w:hAnsi="Tahoma" w:cs="Tahoma"/>
          <w:b/>
          <w:shadow/>
          <w:sz w:val="20"/>
          <w:szCs w:val="20"/>
        </w:rPr>
      </w:pPr>
    </w:p>
    <w:p w:rsidR="00E0335B" w:rsidRPr="006661F0" w:rsidRDefault="00E0335B" w:rsidP="00E0335B">
      <w:pPr>
        <w:spacing w:after="0" w:line="240" w:lineRule="auto"/>
        <w:jc w:val="both"/>
        <w:rPr>
          <w:rFonts w:ascii="Tahoma" w:hAnsi="Tahoma" w:cs="Tahoma"/>
          <w:b/>
          <w:shadow/>
          <w:sz w:val="20"/>
          <w:szCs w:val="20"/>
        </w:rPr>
      </w:pPr>
    </w:p>
    <w:p w:rsidR="00E0335B" w:rsidRPr="006661F0" w:rsidRDefault="00E0335B" w:rsidP="00E0335B">
      <w:pPr>
        <w:spacing w:after="0" w:line="240" w:lineRule="auto"/>
        <w:ind w:left="2832" w:firstLine="708"/>
        <w:jc w:val="both"/>
        <w:rPr>
          <w:rFonts w:ascii="Tahoma" w:hAnsi="Tahoma" w:cs="Tahoma"/>
          <w:b/>
          <w:shadow/>
          <w:sz w:val="20"/>
          <w:szCs w:val="20"/>
        </w:rPr>
      </w:pPr>
      <w:r w:rsidRPr="006661F0">
        <w:rPr>
          <w:rFonts w:ascii="Tahoma" w:hAnsi="Tahoma" w:cs="Tahoma"/>
          <w:b/>
          <w:shadow/>
          <w:sz w:val="20"/>
          <w:szCs w:val="20"/>
        </w:rPr>
        <w:t>PRESIDENTE</w:t>
      </w:r>
    </w:p>
    <w:p w:rsidR="00E0335B" w:rsidRPr="006661F0" w:rsidRDefault="00E0335B" w:rsidP="00E0335B">
      <w:pPr>
        <w:spacing w:after="0" w:line="240" w:lineRule="auto"/>
        <w:jc w:val="both"/>
        <w:rPr>
          <w:rFonts w:ascii="Tahoma" w:hAnsi="Tahoma" w:cs="Tahoma"/>
          <w:b/>
          <w:shadow/>
          <w:sz w:val="20"/>
          <w:szCs w:val="20"/>
        </w:rPr>
      </w:pPr>
    </w:p>
    <w:p w:rsidR="00E0335B" w:rsidRPr="006661F0" w:rsidRDefault="00E0335B" w:rsidP="00E0335B">
      <w:pPr>
        <w:spacing w:after="0" w:line="240" w:lineRule="auto"/>
        <w:jc w:val="both"/>
        <w:rPr>
          <w:rFonts w:ascii="Tahoma" w:hAnsi="Tahoma" w:cs="Tahoma"/>
          <w:b/>
          <w:shadow/>
          <w:sz w:val="20"/>
          <w:szCs w:val="20"/>
        </w:rPr>
      </w:pPr>
    </w:p>
    <w:p w:rsidR="00E0335B" w:rsidRPr="006661F0" w:rsidRDefault="00E0335B" w:rsidP="00E0335B">
      <w:pPr>
        <w:spacing w:after="0" w:line="240" w:lineRule="auto"/>
        <w:jc w:val="both"/>
        <w:rPr>
          <w:rFonts w:ascii="Tahoma" w:hAnsi="Tahoma" w:cs="Tahoma"/>
          <w:b/>
          <w:shadow/>
          <w:sz w:val="20"/>
          <w:szCs w:val="20"/>
        </w:rPr>
      </w:pPr>
    </w:p>
    <w:p w:rsidR="00E0335B" w:rsidRPr="006661F0" w:rsidRDefault="00E0335B" w:rsidP="00E0335B">
      <w:pPr>
        <w:spacing w:after="0" w:line="240" w:lineRule="auto"/>
        <w:jc w:val="both"/>
        <w:rPr>
          <w:rFonts w:ascii="Tahoma" w:hAnsi="Tahoma" w:cs="Tahoma"/>
          <w:b/>
          <w:shadow/>
          <w:sz w:val="20"/>
          <w:szCs w:val="20"/>
        </w:rPr>
      </w:pPr>
    </w:p>
    <w:p w:rsidR="00E0335B" w:rsidRPr="006661F0" w:rsidRDefault="00E0335B" w:rsidP="00E0335B">
      <w:pPr>
        <w:spacing w:after="0" w:line="240" w:lineRule="auto"/>
        <w:jc w:val="both"/>
        <w:rPr>
          <w:rFonts w:ascii="Tahoma" w:hAnsi="Tahoma" w:cs="Tahoma"/>
          <w:b/>
          <w:shadow/>
          <w:sz w:val="20"/>
          <w:szCs w:val="20"/>
        </w:rPr>
      </w:pPr>
    </w:p>
    <w:p w:rsidR="00E0335B" w:rsidRPr="006661F0" w:rsidRDefault="00E0335B" w:rsidP="00E0335B">
      <w:pPr>
        <w:spacing w:after="0" w:line="240" w:lineRule="auto"/>
        <w:jc w:val="both"/>
        <w:rPr>
          <w:rFonts w:ascii="Tahoma" w:hAnsi="Tahoma" w:cs="Tahoma"/>
          <w:shadow/>
          <w:sz w:val="20"/>
          <w:szCs w:val="20"/>
        </w:rPr>
      </w:pPr>
      <w:r w:rsidRPr="006661F0">
        <w:rPr>
          <w:rFonts w:ascii="Tahoma" w:hAnsi="Tahoma" w:cs="Tahoma"/>
          <w:b/>
          <w:shadow/>
          <w:sz w:val="20"/>
          <w:szCs w:val="20"/>
        </w:rPr>
        <w:t xml:space="preserve">                   VOCAL</w:t>
      </w:r>
      <w:r w:rsidRPr="006661F0">
        <w:rPr>
          <w:rFonts w:ascii="Tahoma" w:hAnsi="Tahoma" w:cs="Tahoma"/>
          <w:b/>
          <w:shadow/>
          <w:sz w:val="20"/>
          <w:szCs w:val="20"/>
        </w:rPr>
        <w:tab/>
      </w:r>
      <w:r w:rsidRPr="006661F0">
        <w:rPr>
          <w:rFonts w:ascii="Tahoma" w:hAnsi="Tahoma" w:cs="Tahoma"/>
          <w:b/>
          <w:shadow/>
          <w:sz w:val="20"/>
          <w:szCs w:val="20"/>
        </w:rPr>
        <w:tab/>
      </w:r>
      <w:r w:rsidRPr="006661F0">
        <w:rPr>
          <w:rFonts w:ascii="Tahoma" w:hAnsi="Tahoma" w:cs="Tahoma"/>
          <w:b/>
          <w:shadow/>
          <w:sz w:val="20"/>
          <w:szCs w:val="20"/>
        </w:rPr>
        <w:tab/>
      </w:r>
      <w:r w:rsidRPr="006661F0">
        <w:rPr>
          <w:rFonts w:ascii="Tahoma" w:hAnsi="Tahoma" w:cs="Tahoma"/>
          <w:b/>
          <w:shadow/>
          <w:sz w:val="20"/>
          <w:szCs w:val="20"/>
        </w:rPr>
        <w:tab/>
      </w:r>
      <w:r w:rsidRPr="006661F0">
        <w:rPr>
          <w:rFonts w:ascii="Tahoma" w:hAnsi="Tahoma" w:cs="Tahoma"/>
          <w:b/>
          <w:shadow/>
          <w:sz w:val="20"/>
          <w:szCs w:val="20"/>
        </w:rPr>
        <w:tab/>
      </w:r>
      <w:r w:rsidRPr="006661F0">
        <w:rPr>
          <w:rFonts w:ascii="Tahoma" w:hAnsi="Tahoma" w:cs="Tahoma"/>
          <w:b/>
          <w:shadow/>
          <w:sz w:val="20"/>
          <w:szCs w:val="20"/>
        </w:rPr>
        <w:tab/>
      </w:r>
      <w:r w:rsidRPr="006661F0">
        <w:rPr>
          <w:rFonts w:ascii="Tahoma" w:hAnsi="Tahoma" w:cs="Tahoma"/>
          <w:b/>
          <w:shadow/>
          <w:sz w:val="20"/>
          <w:szCs w:val="20"/>
        </w:rPr>
        <w:tab/>
      </w:r>
      <w:r w:rsidRPr="006661F0">
        <w:rPr>
          <w:rFonts w:ascii="Tahoma" w:hAnsi="Tahoma" w:cs="Tahoma"/>
          <w:b/>
          <w:shadow/>
          <w:sz w:val="20"/>
          <w:szCs w:val="20"/>
        </w:rPr>
        <w:tab/>
        <w:t xml:space="preserve">VOCAL                                                                 </w:t>
      </w:r>
    </w:p>
    <w:p w:rsidR="00E0335B" w:rsidRPr="006661F0" w:rsidRDefault="00E0335B" w:rsidP="00E0335B">
      <w:pPr>
        <w:spacing w:after="0" w:line="240" w:lineRule="auto"/>
        <w:jc w:val="both"/>
        <w:rPr>
          <w:rFonts w:ascii="Tahoma" w:hAnsi="Tahoma" w:cs="Tahoma"/>
          <w:sz w:val="20"/>
          <w:szCs w:val="20"/>
        </w:rPr>
      </w:pPr>
    </w:p>
    <w:p w:rsidR="00E0335B" w:rsidRPr="006661F0" w:rsidRDefault="00E0335B" w:rsidP="00E0335B">
      <w:pPr>
        <w:spacing w:after="0" w:line="240" w:lineRule="auto"/>
        <w:jc w:val="both"/>
        <w:rPr>
          <w:rFonts w:ascii="Tahoma" w:hAnsi="Tahoma" w:cs="Tahoma"/>
          <w:sz w:val="20"/>
          <w:szCs w:val="20"/>
        </w:rPr>
      </w:pPr>
    </w:p>
    <w:p w:rsidR="00E0335B" w:rsidRPr="006661F0" w:rsidRDefault="00E0335B" w:rsidP="00E0335B">
      <w:pPr>
        <w:spacing w:after="0" w:line="240" w:lineRule="auto"/>
        <w:jc w:val="both"/>
        <w:rPr>
          <w:rFonts w:ascii="Tahoma" w:hAnsi="Tahoma" w:cs="Tahoma"/>
          <w:sz w:val="20"/>
          <w:szCs w:val="20"/>
        </w:rPr>
      </w:pPr>
    </w:p>
    <w:p w:rsidR="00E0335B" w:rsidRPr="006661F0" w:rsidRDefault="00E0335B" w:rsidP="00E0335B">
      <w:pPr>
        <w:spacing w:after="0" w:line="240" w:lineRule="auto"/>
        <w:jc w:val="both"/>
        <w:rPr>
          <w:rFonts w:ascii="Tahoma" w:hAnsi="Tahoma" w:cs="Tahoma"/>
          <w:sz w:val="20"/>
          <w:szCs w:val="20"/>
        </w:rPr>
      </w:pPr>
      <w:r w:rsidRPr="006661F0">
        <w:rPr>
          <w:rFonts w:ascii="Tahoma" w:hAnsi="Tahoma" w:cs="Tahoma"/>
          <w:sz w:val="20"/>
          <w:szCs w:val="20"/>
        </w:rPr>
        <w:t>ss.</w:t>
      </w:r>
    </w:p>
    <w:p w:rsidR="00E0335B" w:rsidRPr="006661F0" w:rsidRDefault="002329E5" w:rsidP="00E0335B">
      <w:pPr>
        <w:spacing w:after="0" w:line="240" w:lineRule="auto"/>
        <w:jc w:val="both"/>
        <w:rPr>
          <w:rFonts w:ascii="Tahoma" w:hAnsi="Tahoma" w:cs="Tahoma"/>
          <w:sz w:val="20"/>
          <w:szCs w:val="20"/>
        </w:rPr>
      </w:pPr>
      <w:r>
        <w:rPr>
          <w:rFonts w:ascii="Tahoma" w:hAnsi="Tahoma" w:cs="Tahoma"/>
          <w:sz w:val="20"/>
          <w:szCs w:val="20"/>
        </w:rPr>
        <w:t>Navas Rondón,</w:t>
      </w:r>
    </w:p>
    <w:p w:rsidR="00E0335B" w:rsidRPr="006661F0" w:rsidRDefault="002329E5" w:rsidP="00E0335B">
      <w:pPr>
        <w:spacing w:after="0" w:line="240" w:lineRule="auto"/>
        <w:jc w:val="both"/>
        <w:rPr>
          <w:rFonts w:ascii="Tahoma" w:hAnsi="Tahoma" w:cs="Tahoma"/>
          <w:sz w:val="20"/>
          <w:szCs w:val="20"/>
        </w:rPr>
      </w:pPr>
      <w:r>
        <w:rPr>
          <w:rFonts w:ascii="Tahoma" w:hAnsi="Tahoma" w:cs="Tahoma"/>
          <w:sz w:val="20"/>
          <w:szCs w:val="20"/>
        </w:rPr>
        <w:t>Ramírez Maynetto,</w:t>
      </w:r>
    </w:p>
    <w:p w:rsidR="00E0335B" w:rsidRPr="006661F0" w:rsidRDefault="002329E5" w:rsidP="00E0335B">
      <w:pPr>
        <w:spacing w:after="0" w:line="240" w:lineRule="auto"/>
        <w:jc w:val="both"/>
        <w:rPr>
          <w:rFonts w:ascii="Tahoma" w:hAnsi="Tahoma" w:cs="Tahoma"/>
          <w:sz w:val="20"/>
          <w:szCs w:val="20"/>
        </w:rPr>
      </w:pPr>
      <w:r>
        <w:rPr>
          <w:rFonts w:ascii="Tahoma" w:hAnsi="Tahoma" w:cs="Tahoma"/>
          <w:sz w:val="20"/>
          <w:szCs w:val="20"/>
        </w:rPr>
        <w:t>Basulto Liewald.</w:t>
      </w:r>
    </w:p>
    <w:p w:rsidR="00E0335B" w:rsidRPr="006661F0" w:rsidRDefault="00E0335B" w:rsidP="00E0335B">
      <w:pPr>
        <w:rPr>
          <w:rFonts w:ascii="Tahoma" w:hAnsi="Tahoma" w:cs="Tahoma"/>
          <w:sz w:val="20"/>
          <w:szCs w:val="20"/>
        </w:rPr>
      </w:pPr>
    </w:p>
    <w:p w:rsidR="00E0335B" w:rsidRPr="006661F0" w:rsidRDefault="00E0335B" w:rsidP="00E0335B">
      <w:pPr>
        <w:rPr>
          <w:rFonts w:ascii="Tahoma" w:hAnsi="Tahoma" w:cs="Tahoma"/>
          <w:sz w:val="20"/>
          <w:szCs w:val="20"/>
        </w:rPr>
      </w:pPr>
    </w:p>
    <w:p w:rsidR="00260F0B" w:rsidRPr="006661F0" w:rsidRDefault="00B718E4">
      <w:pPr>
        <w:rPr>
          <w:rFonts w:ascii="Tahoma" w:hAnsi="Tahoma" w:cs="Tahoma"/>
          <w:sz w:val="20"/>
          <w:szCs w:val="20"/>
        </w:rPr>
      </w:pPr>
    </w:p>
    <w:sectPr w:rsidR="00260F0B" w:rsidRPr="006661F0" w:rsidSect="00266DA1">
      <w:headerReference w:type="default" r:id="rId7"/>
      <w:footerReference w:type="default" r:id="rId8"/>
      <w:pgSz w:w="11906" w:h="16838"/>
      <w:pgMar w:top="2836" w:right="1700" w:bottom="1418" w:left="184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8E4" w:rsidRDefault="00B718E4" w:rsidP="00E0335B">
      <w:pPr>
        <w:spacing w:after="0" w:line="240" w:lineRule="auto"/>
      </w:pPr>
      <w:r>
        <w:separator/>
      </w:r>
    </w:p>
  </w:endnote>
  <w:endnote w:type="continuationSeparator" w:id="1">
    <w:p w:rsidR="00B718E4" w:rsidRDefault="00B718E4" w:rsidP="00E033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7FC" w:rsidRPr="00FD5A0C" w:rsidRDefault="00266DA1">
    <w:pPr>
      <w:pStyle w:val="Piedepgina"/>
      <w:jc w:val="center"/>
      <w:rPr>
        <w:rFonts w:ascii="Tahoma" w:hAnsi="Tahoma" w:cs="Tahoma"/>
        <w:i/>
        <w:sz w:val="18"/>
        <w:szCs w:val="18"/>
      </w:rPr>
    </w:pPr>
    <w:r w:rsidRPr="00FD5A0C">
      <w:rPr>
        <w:rFonts w:ascii="Tahoma" w:hAnsi="Tahoma" w:cs="Tahoma"/>
        <w:i/>
        <w:sz w:val="18"/>
        <w:szCs w:val="18"/>
      </w:rPr>
      <w:t xml:space="preserve">Página </w:t>
    </w:r>
    <w:r w:rsidR="00F55CD8" w:rsidRPr="00FD5A0C">
      <w:rPr>
        <w:rFonts w:ascii="Tahoma" w:hAnsi="Tahoma" w:cs="Tahoma"/>
        <w:i/>
        <w:sz w:val="18"/>
        <w:szCs w:val="18"/>
      </w:rPr>
      <w:fldChar w:fldCharType="begin"/>
    </w:r>
    <w:r w:rsidRPr="00FD5A0C">
      <w:rPr>
        <w:rFonts w:ascii="Tahoma" w:hAnsi="Tahoma" w:cs="Tahoma"/>
        <w:i/>
        <w:sz w:val="18"/>
        <w:szCs w:val="18"/>
      </w:rPr>
      <w:instrText>PAGE</w:instrText>
    </w:r>
    <w:r w:rsidR="00F55CD8" w:rsidRPr="00FD5A0C">
      <w:rPr>
        <w:rFonts w:ascii="Tahoma" w:hAnsi="Tahoma" w:cs="Tahoma"/>
        <w:i/>
        <w:sz w:val="18"/>
        <w:szCs w:val="18"/>
      </w:rPr>
      <w:fldChar w:fldCharType="separate"/>
    </w:r>
    <w:r w:rsidR="0076697E">
      <w:rPr>
        <w:rFonts w:ascii="Tahoma" w:hAnsi="Tahoma" w:cs="Tahoma"/>
        <w:i/>
        <w:noProof/>
        <w:sz w:val="18"/>
        <w:szCs w:val="18"/>
      </w:rPr>
      <w:t>1</w:t>
    </w:r>
    <w:r w:rsidR="00F55CD8" w:rsidRPr="00FD5A0C">
      <w:rPr>
        <w:rFonts w:ascii="Tahoma" w:hAnsi="Tahoma" w:cs="Tahoma"/>
        <w:i/>
        <w:sz w:val="18"/>
        <w:szCs w:val="18"/>
      </w:rPr>
      <w:fldChar w:fldCharType="end"/>
    </w:r>
    <w:r w:rsidRPr="00FD5A0C">
      <w:rPr>
        <w:rFonts w:ascii="Tahoma" w:hAnsi="Tahoma" w:cs="Tahoma"/>
        <w:i/>
        <w:sz w:val="18"/>
        <w:szCs w:val="18"/>
      </w:rPr>
      <w:t xml:space="preserve"> de </w:t>
    </w:r>
    <w:r w:rsidR="00F55CD8" w:rsidRPr="00FD5A0C">
      <w:rPr>
        <w:rFonts w:ascii="Tahoma" w:hAnsi="Tahoma" w:cs="Tahoma"/>
        <w:i/>
        <w:sz w:val="18"/>
        <w:szCs w:val="18"/>
      </w:rPr>
      <w:fldChar w:fldCharType="begin"/>
    </w:r>
    <w:r w:rsidRPr="00FD5A0C">
      <w:rPr>
        <w:rFonts w:ascii="Tahoma" w:hAnsi="Tahoma" w:cs="Tahoma"/>
        <w:i/>
        <w:sz w:val="18"/>
        <w:szCs w:val="18"/>
      </w:rPr>
      <w:instrText>NUMPAGES</w:instrText>
    </w:r>
    <w:r w:rsidR="00F55CD8" w:rsidRPr="00FD5A0C">
      <w:rPr>
        <w:rFonts w:ascii="Tahoma" w:hAnsi="Tahoma" w:cs="Tahoma"/>
        <w:i/>
        <w:sz w:val="18"/>
        <w:szCs w:val="18"/>
      </w:rPr>
      <w:fldChar w:fldCharType="separate"/>
    </w:r>
    <w:r w:rsidR="0076697E">
      <w:rPr>
        <w:rFonts w:ascii="Tahoma" w:hAnsi="Tahoma" w:cs="Tahoma"/>
        <w:i/>
        <w:noProof/>
        <w:sz w:val="18"/>
        <w:szCs w:val="18"/>
      </w:rPr>
      <w:t>7</w:t>
    </w:r>
    <w:r w:rsidR="00F55CD8" w:rsidRPr="00FD5A0C">
      <w:rPr>
        <w:rFonts w:ascii="Tahoma" w:hAnsi="Tahoma" w:cs="Tahoma"/>
        <w:i/>
        <w:sz w:val="18"/>
        <w:szCs w:val="18"/>
      </w:rPr>
      <w:fldChar w:fldCharType="end"/>
    </w:r>
  </w:p>
  <w:p w:rsidR="00D157FC" w:rsidRDefault="00B718E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8E4" w:rsidRDefault="00B718E4" w:rsidP="00E0335B">
      <w:pPr>
        <w:spacing w:after="0" w:line="240" w:lineRule="auto"/>
      </w:pPr>
      <w:r>
        <w:separator/>
      </w:r>
    </w:p>
  </w:footnote>
  <w:footnote w:type="continuationSeparator" w:id="1">
    <w:p w:rsidR="00B718E4" w:rsidRDefault="00B718E4" w:rsidP="00E0335B">
      <w:pPr>
        <w:spacing w:after="0" w:line="240" w:lineRule="auto"/>
      </w:pPr>
      <w:r>
        <w:continuationSeparator/>
      </w:r>
    </w:p>
  </w:footnote>
  <w:footnote w:id="2">
    <w:p w:rsidR="00E0335B" w:rsidRPr="009F1F66" w:rsidRDefault="00E0335B" w:rsidP="00E0335B">
      <w:pPr>
        <w:pStyle w:val="Textonotapie"/>
        <w:rPr>
          <w:sz w:val="18"/>
          <w:szCs w:val="18"/>
        </w:rPr>
      </w:pPr>
      <w:r w:rsidRPr="009F1F66">
        <w:rPr>
          <w:rStyle w:val="Refdenotaalpie"/>
          <w:sz w:val="18"/>
          <w:szCs w:val="18"/>
        </w:rPr>
        <w:footnoteRef/>
      </w:r>
      <w:r w:rsidRPr="009F1F66">
        <w:rPr>
          <w:sz w:val="18"/>
          <w:szCs w:val="18"/>
        </w:rPr>
        <w:t xml:space="preserve"> “</w:t>
      </w:r>
      <w:r w:rsidRPr="009F1F66">
        <w:rPr>
          <w:b/>
          <w:bCs/>
          <w:sz w:val="18"/>
          <w:szCs w:val="18"/>
        </w:rPr>
        <w:t>Artículo 294.- Causales de aplicación de sanción a los proveedores, participantes postores y contratistas.-</w:t>
      </w:r>
      <w:r w:rsidRPr="009F1F66">
        <w:rPr>
          <w:sz w:val="18"/>
          <w:szCs w:val="18"/>
        </w:rPr>
        <w:t xml:space="preserve"> El Tribunal impondrá sanción administrativa de suspensión o inhabilitación temporal o definitiva a los proveedores, participantes postores y/o contratistas que:</w:t>
      </w:r>
    </w:p>
    <w:p w:rsidR="00E0335B" w:rsidRPr="009F1F66" w:rsidRDefault="00E0335B" w:rsidP="00E0335B">
      <w:pPr>
        <w:pStyle w:val="Textonotapie"/>
        <w:rPr>
          <w:sz w:val="18"/>
          <w:szCs w:val="18"/>
        </w:rPr>
      </w:pPr>
      <w:r w:rsidRPr="009F1F66">
        <w:rPr>
          <w:sz w:val="18"/>
          <w:szCs w:val="18"/>
        </w:rPr>
        <w:t xml:space="preserve">(…) </w:t>
      </w:r>
    </w:p>
    <w:p w:rsidR="00E0335B" w:rsidRPr="009F1F66" w:rsidRDefault="00E0335B" w:rsidP="00E0335B">
      <w:pPr>
        <w:pStyle w:val="Textonotapie"/>
        <w:rPr>
          <w:sz w:val="18"/>
          <w:szCs w:val="18"/>
        </w:rPr>
      </w:pPr>
      <w:r w:rsidRPr="009F1F66">
        <w:rPr>
          <w:sz w:val="18"/>
          <w:szCs w:val="18"/>
        </w:rPr>
        <w:t>10) Presenten documentos falsos o con información inexacta en los procedimientos seguidos ante el Registro Nacional de proveedores;</w:t>
      </w:r>
    </w:p>
    <w:p w:rsidR="00E0335B" w:rsidRPr="009F1F66" w:rsidRDefault="00E0335B" w:rsidP="00E0335B">
      <w:pPr>
        <w:pStyle w:val="Textonotapie"/>
        <w:rPr>
          <w:sz w:val="18"/>
          <w:szCs w:val="18"/>
        </w:rPr>
      </w:pPr>
      <w:r w:rsidRPr="009F1F66">
        <w:rPr>
          <w:sz w:val="18"/>
          <w:szCs w:val="18"/>
        </w:rPr>
        <w:t>(…)”.</w:t>
      </w:r>
    </w:p>
    <w:p w:rsidR="00E0335B" w:rsidRDefault="00E0335B" w:rsidP="00E0335B">
      <w:pPr>
        <w:pStyle w:val="Textonotapie"/>
      </w:pPr>
    </w:p>
  </w:footnote>
  <w:footnote w:id="3">
    <w:p w:rsidR="00E0335B" w:rsidRPr="009F1F66" w:rsidRDefault="00E0335B" w:rsidP="00E0335B">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9F1F66">
        <w:rPr>
          <w:rStyle w:val="Refdenotaalpie"/>
          <w:sz w:val="18"/>
          <w:szCs w:val="18"/>
        </w:rPr>
        <w:footnoteRef/>
      </w:r>
      <w:r w:rsidRPr="009F1F66">
        <w:rPr>
          <w:sz w:val="18"/>
          <w:szCs w:val="18"/>
        </w:rPr>
        <w:t xml:space="preserve"> </w:t>
      </w:r>
      <w:r w:rsidRPr="009F1F66">
        <w:rPr>
          <w:b/>
          <w:bCs/>
          <w:sz w:val="18"/>
          <w:szCs w:val="18"/>
        </w:rPr>
        <w:t xml:space="preserve">5. </w:t>
      </w:r>
      <w:r w:rsidRPr="009F1F66">
        <w:rPr>
          <w:sz w:val="18"/>
          <w:szCs w:val="18"/>
        </w:rPr>
        <w:t>Irretroactividad.- Son aplicables las disposiciones sancionadoras vigentes en el momento de incurrir el administrado en la conducta a sancionar, salvo que las posteriores le sean más favorables.</w:t>
      </w:r>
    </w:p>
    <w:p w:rsidR="00E0335B" w:rsidRDefault="00E0335B" w:rsidP="00E0335B">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footnote>
  <w:footnote w:id="4">
    <w:p w:rsidR="00E0335B" w:rsidRDefault="00E0335B" w:rsidP="00E0335B">
      <w:pPr>
        <w:pStyle w:val="Textonotapie"/>
      </w:pPr>
      <w:r>
        <w:rPr>
          <w:rStyle w:val="Refdenotaalpie"/>
          <w:sz w:val="16"/>
          <w:szCs w:val="16"/>
        </w:rPr>
        <w:footnoteRef/>
      </w:r>
      <w:r>
        <w:rPr>
          <w:sz w:val="16"/>
          <w:szCs w:val="16"/>
        </w:rPr>
        <w:t xml:space="preserve"> </w:t>
      </w:r>
      <w:r>
        <w:rPr>
          <w:b/>
          <w:bCs/>
          <w:sz w:val="16"/>
          <w:szCs w:val="16"/>
        </w:rPr>
        <w:t>Principio de Privilegio de Controles Posteriores.-</w:t>
      </w:r>
      <w:r>
        <w:rPr>
          <w:sz w:val="16"/>
          <w:szCs w:val="16"/>
        </w:rPr>
        <w:t xml:space="preserve">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97E" w:rsidRDefault="0076697E" w:rsidP="0076697E">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76697E" w:rsidRDefault="0076697E" w:rsidP="0076697E">
    <w:pPr>
      <w:pStyle w:val="Encabezado"/>
      <w:rPr>
        <w:noProof/>
      </w:rPr>
    </w:pPr>
  </w:p>
  <w:p w:rsidR="0076697E" w:rsidRDefault="0076697E" w:rsidP="0076697E">
    <w:pPr>
      <w:pStyle w:val="Encabezado"/>
      <w:rPr>
        <w:noProof/>
      </w:rPr>
    </w:pPr>
  </w:p>
  <w:p w:rsidR="0076697E" w:rsidRDefault="0076697E" w:rsidP="0076697E">
    <w:pPr>
      <w:pStyle w:val="Encabezado"/>
      <w:rPr>
        <w:noProof/>
      </w:rPr>
    </w:pPr>
  </w:p>
  <w:p w:rsidR="0076697E" w:rsidRDefault="0076697E" w:rsidP="0076697E">
    <w:pPr>
      <w:pStyle w:val="Encabezado"/>
      <w:jc w:val="center"/>
    </w:pPr>
    <w:r>
      <w:rPr>
        <w:rFonts w:ascii="Monotype Corsiva" w:hAnsi="Monotype Corsiva"/>
        <w:b/>
        <w:sz w:val="44"/>
        <w:szCs w:val="44"/>
      </w:rPr>
      <w:t xml:space="preserve">Resolución Nº   </w:t>
    </w:r>
    <w:r>
      <w:rPr>
        <w:rFonts w:ascii="Tahoma" w:hAnsi="Tahoma" w:cs="Tahoma"/>
        <w:b/>
        <w:sz w:val="44"/>
        <w:szCs w:val="44"/>
      </w:rPr>
      <w:t>784-2011-TC-S1</w:t>
    </w:r>
  </w:p>
  <w:p w:rsidR="0076697E" w:rsidRDefault="0076697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900"/>
        </w:tabs>
        <w:ind w:left="900"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1080"/>
        </w:tabs>
        <w:ind w:left="10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CEA1DE0"/>
    <w:multiLevelType w:val="hybridMultilevel"/>
    <w:tmpl w:val="4DB22C10"/>
    <w:lvl w:ilvl="0" w:tplc="A8B6CD7C">
      <w:start w:val="1"/>
      <w:numFmt w:val="decimal"/>
      <w:lvlText w:val="%1."/>
      <w:lvlJc w:val="left"/>
      <w:pPr>
        <w:ind w:left="1440" w:hanging="360"/>
      </w:pPr>
      <w:rPr>
        <w:b/>
        <w:bCs/>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2">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40B06780"/>
    <w:multiLevelType w:val="hybridMultilevel"/>
    <w:tmpl w:val="B9045CF6"/>
    <w:lvl w:ilvl="0" w:tplc="A720E4EE">
      <w:start w:val="1"/>
      <w:numFmt w:val="decimal"/>
      <w:lvlText w:val="%1."/>
      <w:lvlJc w:val="left"/>
      <w:pPr>
        <w:ind w:left="1440" w:hanging="360"/>
      </w:pPr>
      <w:rPr>
        <w:b/>
        <w:bCs/>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4">
    <w:nsid w:val="4ADA5249"/>
    <w:multiLevelType w:val="multilevel"/>
    <w:tmpl w:val="29DEB438"/>
    <w:lvl w:ilvl="0">
      <w:start w:val="1"/>
      <w:numFmt w:val="decimal"/>
      <w:lvlText w:val="%1."/>
      <w:lvlJc w:val="left"/>
      <w:pPr>
        <w:tabs>
          <w:tab w:val="num" w:pos="360"/>
        </w:tabs>
        <w:ind w:left="36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E0335B"/>
    <w:rsid w:val="000E5398"/>
    <w:rsid w:val="002329E5"/>
    <w:rsid w:val="00266DA1"/>
    <w:rsid w:val="00582E67"/>
    <w:rsid w:val="006661F0"/>
    <w:rsid w:val="0066645E"/>
    <w:rsid w:val="0076697E"/>
    <w:rsid w:val="007B0F74"/>
    <w:rsid w:val="0081038B"/>
    <w:rsid w:val="0096071E"/>
    <w:rsid w:val="00A8263A"/>
    <w:rsid w:val="00B718E4"/>
    <w:rsid w:val="00E0335B"/>
    <w:rsid w:val="00F55CD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35B"/>
    <w:rPr>
      <w:rFonts w:ascii="Calibri" w:eastAsia="Calibri" w:hAnsi="Calibri" w:cs="Times New Roman"/>
    </w:rPr>
  </w:style>
  <w:style w:type="paragraph" w:styleId="Ttulo2">
    <w:name w:val="heading 2"/>
    <w:basedOn w:val="Normal"/>
    <w:next w:val="Normal"/>
    <w:link w:val="Ttulo2Car"/>
    <w:qFormat/>
    <w:rsid w:val="00E0335B"/>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E0335B"/>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E0335B"/>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E0335B"/>
    <w:rPr>
      <w:rFonts w:ascii="Arial" w:eastAsia="Calibri" w:hAnsi="Arial" w:cs="Arial"/>
      <w:b/>
      <w:bCs/>
      <w:sz w:val="26"/>
      <w:szCs w:val="26"/>
    </w:rPr>
  </w:style>
  <w:style w:type="paragraph" w:styleId="Textoindependiente3">
    <w:name w:val="Body Text 3"/>
    <w:basedOn w:val="Normal"/>
    <w:link w:val="Textoindependiente3Car"/>
    <w:semiHidden/>
    <w:unhideWhenUsed/>
    <w:rsid w:val="00E0335B"/>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E0335B"/>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E0335B"/>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E0335B"/>
    <w:pPr>
      <w:tabs>
        <w:tab w:val="center" w:pos="4252"/>
        <w:tab w:val="right" w:pos="8504"/>
      </w:tabs>
    </w:pPr>
  </w:style>
  <w:style w:type="character" w:customStyle="1" w:styleId="PiedepginaCar">
    <w:name w:val="Pie de página Car"/>
    <w:basedOn w:val="Fuentedeprrafopredeter"/>
    <w:link w:val="Piedepgina"/>
    <w:uiPriority w:val="99"/>
    <w:rsid w:val="00E0335B"/>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
    <w:basedOn w:val="Normal"/>
    <w:link w:val="TextonotapieCar"/>
    <w:uiPriority w:val="99"/>
    <w:rsid w:val="00E0335B"/>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E0335B"/>
    <w:rPr>
      <w:rFonts w:ascii="Tahoma" w:eastAsia="Calibri" w:hAnsi="Tahoma" w:cs="Tahoma"/>
      <w:sz w:val="20"/>
      <w:szCs w:val="20"/>
    </w:rPr>
  </w:style>
  <w:style w:type="character" w:styleId="Refdenotaalpie">
    <w:name w:val="footnote reference"/>
    <w:basedOn w:val="Fuentedeprrafopredeter"/>
    <w:uiPriority w:val="99"/>
    <w:semiHidden/>
    <w:rsid w:val="00E0335B"/>
    <w:rPr>
      <w:vertAlign w:val="superscript"/>
    </w:rPr>
  </w:style>
  <w:style w:type="paragraph" w:styleId="Textoindependiente">
    <w:name w:val="Body Text"/>
    <w:basedOn w:val="Normal"/>
    <w:link w:val="TextoindependienteCar"/>
    <w:uiPriority w:val="99"/>
    <w:semiHidden/>
    <w:unhideWhenUsed/>
    <w:rsid w:val="00E0335B"/>
    <w:pPr>
      <w:spacing w:after="120"/>
    </w:pPr>
  </w:style>
  <w:style w:type="character" w:customStyle="1" w:styleId="TextoindependienteCar">
    <w:name w:val="Texto independiente Car"/>
    <w:basedOn w:val="Fuentedeprrafopredeter"/>
    <w:link w:val="Textoindependiente"/>
    <w:uiPriority w:val="99"/>
    <w:semiHidden/>
    <w:rsid w:val="00E0335B"/>
    <w:rPr>
      <w:rFonts w:ascii="Calibri" w:eastAsia="Calibri" w:hAnsi="Calibri" w:cs="Times New Roman"/>
    </w:rPr>
  </w:style>
  <w:style w:type="paragraph" w:styleId="NormalWeb">
    <w:name w:val="Normal (Web)"/>
    <w:basedOn w:val="Normal"/>
    <w:uiPriority w:val="99"/>
    <w:rsid w:val="00E0335B"/>
    <w:pPr>
      <w:spacing w:before="100" w:beforeAutospacing="1" w:after="100" w:afterAutospacing="1" w:line="240" w:lineRule="auto"/>
    </w:pPr>
    <w:rPr>
      <w:rFonts w:ascii="Times New Roman" w:hAnsi="Times New Roman"/>
      <w:sz w:val="24"/>
      <w:szCs w:val="24"/>
      <w:lang w:eastAsia="es-ES"/>
    </w:rPr>
  </w:style>
  <w:style w:type="paragraph" w:customStyle="1" w:styleId="Prrafodelista1">
    <w:name w:val="Párrafo de lista1"/>
    <w:basedOn w:val="Normal"/>
    <w:uiPriority w:val="99"/>
    <w:rsid w:val="00E0335B"/>
    <w:pPr>
      <w:spacing w:after="0" w:line="240" w:lineRule="auto"/>
      <w:ind w:left="720"/>
    </w:pPr>
    <w:rPr>
      <w:rFonts w:ascii="Times New Roman" w:hAnsi="Times New Roman"/>
      <w:sz w:val="24"/>
      <w:szCs w:val="24"/>
      <w:lang w:eastAsia="es-ES"/>
    </w:rPr>
  </w:style>
  <w:style w:type="character" w:styleId="Textoennegrita">
    <w:name w:val="Strong"/>
    <w:basedOn w:val="Fuentedeprrafopredeter"/>
    <w:uiPriority w:val="99"/>
    <w:qFormat/>
    <w:rsid w:val="00E0335B"/>
    <w:rPr>
      <w:b/>
      <w:bCs/>
    </w:rPr>
  </w:style>
  <w:style w:type="paragraph" w:styleId="Encabezado">
    <w:name w:val="header"/>
    <w:aliases w:val="maria,h"/>
    <w:basedOn w:val="Normal"/>
    <w:link w:val="EncabezadoCar"/>
    <w:uiPriority w:val="99"/>
    <w:semiHidden/>
    <w:unhideWhenUsed/>
    <w:rsid w:val="0076697E"/>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76697E"/>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53638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Pages>
  <Words>2664</Words>
  <Characters>14658</Characters>
  <Application>Microsoft Office Word</Application>
  <DocSecurity>0</DocSecurity>
  <Lines>122</Lines>
  <Paragraphs>34</Paragraphs>
  <ScaleCrop>false</ScaleCrop>
  <Company/>
  <LinksUpToDate>false</LinksUpToDate>
  <CharactersWithSpaces>17288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8</cp:revision>
  <cp:lastPrinted>2011-05-10T22:18:00Z</cp:lastPrinted>
  <dcterms:created xsi:type="dcterms:W3CDTF">2011-05-10T21:50:00Z</dcterms:created>
  <dcterms:modified xsi:type="dcterms:W3CDTF">2011-06-22T14:35:00Z</dcterms:modified>
</cp:coreProperties>
</file>